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D6" w:rsidRPr="00C61221" w:rsidRDefault="00BF3DD6" w:rsidP="00BF3DD6">
      <w:pPr>
        <w:tabs>
          <w:tab w:val="center" w:pos="1440"/>
          <w:tab w:val="center" w:pos="6120"/>
        </w:tabs>
        <w:ind w:right="-59"/>
        <w:rPr>
          <w:b/>
          <w:sz w:val="26"/>
          <w:szCs w:val="26"/>
        </w:rPr>
      </w:pPr>
      <w:bookmarkStart w:id="0" w:name="_GoBack"/>
      <w:bookmarkEnd w:id="0"/>
      <w:r w:rsidRPr="00C61221">
        <w:rPr>
          <w:sz w:val="28"/>
          <w:szCs w:val="28"/>
        </w:rPr>
        <w:tab/>
      </w:r>
      <w:r w:rsidRPr="00C61221">
        <w:rPr>
          <w:b/>
          <w:sz w:val="26"/>
          <w:szCs w:val="26"/>
        </w:rPr>
        <w:t>UỶ BAN NHÂN DÂN</w:t>
      </w:r>
      <w:r w:rsidRPr="00C61221">
        <w:rPr>
          <w:b/>
          <w:sz w:val="26"/>
          <w:szCs w:val="26"/>
        </w:rPr>
        <w:tab/>
        <w:t>CỘNG HÒA XÃ HỘI CHỦ NGHĨA VIỆT NAM</w:t>
      </w:r>
    </w:p>
    <w:p w:rsidR="00BF3DD6" w:rsidRPr="00C61221" w:rsidRDefault="00BF3DD6" w:rsidP="00BF3DD6">
      <w:pPr>
        <w:tabs>
          <w:tab w:val="center" w:pos="1440"/>
          <w:tab w:val="center" w:pos="6120"/>
        </w:tabs>
        <w:ind w:right="-59"/>
        <w:rPr>
          <w:b/>
          <w:sz w:val="26"/>
          <w:szCs w:val="26"/>
        </w:rPr>
      </w:pPr>
      <w:r w:rsidRPr="00C61221">
        <w:rPr>
          <w:b/>
          <w:sz w:val="26"/>
          <w:szCs w:val="26"/>
        </w:rPr>
        <w:tab/>
        <w:t>TỈNH ĐỒNG THÁP</w:t>
      </w:r>
      <w:r w:rsidRPr="00C61221">
        <w:rPr>
          <w:b/>
          <w:sz w:val="26"/>
          <w:szCs w:val="26"/>
        </w:rPr>
        <w:tab/>
        <w:t>Độc lập - Tự do - Hạnh phúc</w:t>
      </w:r>
    </w:p>
    <w:p w:rsidR="00BF3DD6" w:rsidRPr="00C61221" w:rsidRDefault="001715E6" w:rsidP="00BF3DD6">
      <w:pPr>
        <w:tabs>
          <w:tab w:val="center" w:pos="1080"/>
          <w:tab w:val="center" w:pos="6120"/>
        </w:tabs>
        <w:ind w:right="-59"/>
        <w:rPr>
          <w:b/>
          <w:sz w:val="26"/>
          <w:szCs w:val="26"/>
        </w:rPr>
      </w:pPr>
      <w:r w:rsidRPr="00C61221">
        <w:rPr>
          <w:b/>
          <w:noProof/>
          <w:sz w:val="26"/>
          <w:szCs w:val="26"/>
        </w:rPr>
        <mc:AlternateContent>
          <mc:Choice Requires="wps">
            <w:drawing>
              <wp:anchor distT="0" distB="0" distL="114300" distR="114300" simplePos="0" relativeHeight="251657728" behindDoc="0" locked="0" layoutInCell="1" allowOverlap="1" wp14:anchorId="174822BC" wp14:editId="45694337">
                <wp:simplePos x="0" y="0"/>
                <wp:positionH relativeFrom="column">
                  <wp:posOffset>2891790</wp:posOffset>
                </wp:positionH>
                <wp:positionV relativeFrom="paragraph">
                  <wp:posOffset>33655</wp:posOffset>
                </wp:positionV>
                <wp:extent cx="1973580" cy="0"/>
                <wp:effectExtent l="5715" t="5080" r="1143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AD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65pt" to="38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"/>
            </w:pict>
          </mc:Fallback>
        </mc:AlternateContent>
      </w:r>
      <w:r w:rsidRPr="00C61221">
        <w:rPr>
          <w:b/>
          <w:noProof/>
          <w:sz w:val="26"/>
          <w:szCs w:val="26"/>
        </w:rPr>
        <mc:AlternateContent>
          <mc:Choice Requires="wps">
            <w:drawing>
              <wp:anchor distT="0" distB="0" distL="114300" distR="114300" simplePos="0" relativeHeight="251656704" behindDoc="0" locked="0" layoutInCell="1" allowOverlap="1" wp14:anchorId="7244624E" wp14:editId="447C358F">
                <wp:simplePos x="0" y="0"/>
                <wp:positionH relativeFrom="column">
                  <wp:posOffset>643890</wp:posOffset>
                </wp:positionH>
                <wp:positionV relativeFrom="paragraph">
                  <wp:posOffset>48895</wp:posOffset>
                </wp:positionV>
                <wp:extent cx="527685" cy="0"/>
                <wp:effectExtent l="571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24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3.85pt" to="9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am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"/>
            </w:pict>
          </mc:Fallback>
        </mc:AlternateContent>
      </w:r>
      <w:r w:rsidR="00BF3DD6" w:rsidRPr="00C61221">
        <w:rPr>
          <w:b/>
          <w:sz w:val="26"/>
          <w:szCs w:val="26"/>
        </w:rPr>
        <w:tab/>
        <w:t xml:space="preserve">    </w:t>
      </w:r>
      <w:r w:rsidR="00BF3DD6" w:rsidRPr="00C61221">
        <w:rPr>
          <w:b/>
          <w:sz w:val="26"/>
          <w:szCs w:val="26"/>
        </w:rPr>
        <w:tab/>
        <w:t xml:space="preserve">                   </w:t>
      </w:r>
    </w:p>
    <w:p w:rsidR="00BF3DD6" w:rsidRPr="00C61221" w:rsidRDefault="00BF3DD6" w:rsidP="00BF3DD6">
      <w:pPr>
        <w:tabs>
          <w:tab w:val="center" w:pos="1440"/>
          <w:tab w:val="center" w:pos="6120"/>
        </w:tabs>
        <w:ind w:right="-69"/>
        <w:rPr>
          <w:i/>
          <w:sz w:val="26"/>
          <w:szCs w:val="26"/>
        </w:rPr>
      </w:pPr>
      <w:r w:rsidRPr="00C61221">
        <w:rPr>
          <w:sz w:val="26"/>
          <w:szCs w:val="26"/>
        </w:rPr>
        <w:tab/>
      </w:r>
      <w:r w:rsidR="00ED5FD7" w:rsidRPr="00C61221">
        <w:rPr>
          <w:sz w:val="26"/>
          <w:szCs w:val="26"/>
        </w:rPr>
        <w:t xml:space="preserve">Số: </w:t>
      </w:r>
      <w:r w:rsidR="00F64D87" w:rsidRPr="00C61221">
        <w:rPr>
          <w:sz w:val="26"/>
          <w:szCs w:val="26"/>
          <w:lang w:val="vi-VN"/>
        </w:rPr>
        <w:t xml:space="preserve">   </w:t>
      </w:r>
      <w:r w:rsidR="00366978" w:rsidRPr="00C61221">
        <w:rPr>
          <w:sz w:val="26"/>
          <w:szCs w:val="26"/>
          <w:lang w:val="vi-VN"/>
        </w:rPr>
        <w:t xml:space="preserve"> </w:t>
      </w:r>
      <w:r w:rsidR="004517D4" w:rsidRPr="00C61221">
        <w:rPr>
          <w:sz w:val="26"/>
          <w:szCs w:val="26"/>
        </w:rPr>
        <w:t xml:space="preserve">        </w:t>
      </w:r>
      <w:r w:rsidRPr="00C61221">
        <w:rPr>
          <w:sz w:val="26"/>
          <w:szCs w:val="26"/>
        </w:rPr>
        <w:t>/</w:t>
      </w:r>
      <w:r w:rsidR="00F64D87" w:rsidRPr="00C61221">
        <w:rPr>
          <w:sz w:val="26"/>
          <w:szCs w:val="26"/>
          <w:lang w:val="vi-VN"/>
        </w:rPr>
        <w:t>BC-</w:t>
      </w:r>
      <w:r w:rsidRPr="00C61221">
        <w:rPr>
          <w:sz w:val="26"/>
          <w:szCs w:val="26"/>
        </w:rPr>
        <w:t>UBND</w:t>
      </w:r>
      <w:r w:rsidRPr="00C61221">
        <w:rPr>
          <w:sz w:val="26"/>
          <w:szCs w:val="26"/>
        </w:rPr>
        <w:tab/>
      </w:r>
      <w:r w:rsidR="00BF5B84" w:rsidRPr="00C61221">
        <w:rPr>
          <w:i/>
          <w:sz w:val="26"/>
          <w:szCs w:val="26"/>
        </w:rPr>
        <w:t>Đồng Tháp, ngày</w:t>
      </w:r>
      <w:r w:rsidR="00DD21F8" w:rsidRPr="00C61221">
        <w:rPr>
          <w:i/>
          <w:sz w:val="26"/>
          <w:szCs w:val="26"/>
        </w:rPr>
        <w:t xml:space="preserve"> </w:t>
      </w:r>
      <w:r w:rsidR="004517D4" w:rsidRPr="00C61221">
        <w:rPr>
          <w:i/>
          <w:sz w:val="26"/>
          <w:szCs w:val="26"/>
        </w:rPr>
        <w:t xml:space="preserve">     </w:t>
      </w:r>
      <w:r w:rsidR="00664083" w:rsidRPr="00C61221">
        <w:rPr>
          <w:i/>
          <w:sz w:val="26"/>
          <w:szCs w:val="26"/>
          <w:lang w:val="vi-VN"/>
        </w:rPr>
        <w:t xml:space="preserve"> </w:t>
      </w:r>
      <w:r w:rsidRPr="00C61221">
        <w:rPr>
          <w:i/>
          <w:sz w:val="26"/>
          <w:szCs w:val="26"/>
        </w:rPr>
        <w:t>tháng</w:t>
      </w:r>
      <w:r w:rsidR="00626DE2" w:rsidRPr="00C61221">
        <w:rPr>
          <w:i/>
          <w:sz w:val="26"/>
          <w:szCs w:val="26"/>
          <w:lang w:val="vi-VN"/>
        </w:rPr>
        <w:t xml:space="preserve"> </w:t>
      </w:r>
      <w:r w:rsidR="004517D4" w:rsidRPr="00C61221">
        <w:rPr>
          <w:i/>
          <w:sz w:val="26"/>
          <w:szCs w:val="26"/>
        </w:rPr>
        <w:t xml:space="preserve">    </w:t>
      </w:r>
      <w:r w:rsidR="00F64D87" w:rsidRPr="00C61221">
        <w:rPr>
          <w:i/>
          <w:sz w:val="26"/>
          <w:szCs w:val="26"/>
        </w:rPr>
        <w:t xml:space="preserve"> năm 2</w:t>
      </w:r>
      <w:r w:rsidR="00F64D87" w:rsidRPr="00C61221">
        <w:rPr>
          <w:i/>
          <w:sz w:val="26"/>
          <w:szCs w:val="26"/>
          <w:lang w:val="vi-VN"/>
        </w:rPr>
        <w:t>02</w:t>
      </w:r>
      <w:r w:rsidR="00EC5D45" w:rsidRPr="00C61221">
        <w:rPr>
          <w:i/>
          <w:sz w:val="26"/>
          <w:szCs w:val="26"/>
        </w:rPr>
        <w:t>1</w:t>
      </w:r>
    </w:p>
    <w:p w:rsidR="0012111B" w:rsidRPr="00C61221" w:rsidRDefault="0012111B" w:rsidP="00F64D87">
      <w:pPr>
        <w:tabs>
          <w:tab w:val="center" w:pos="1440"/>
          <w:tab w:val="center" w:pos="6120"/>
        </w:tabs>
        <w:ind w:right="-69"/>
        <w:jc w:val="center"/>
        <w:rPr>
          <w:b/>
          <w:sz w:val="28"/>
          <w:szCs w:val="28"/>
          <w:lang w:val="vi-VN"/>
        </w:rPr>
      </w:pPr>
    </w:p>
    <w:p w:rsidR="00F64D87" w:rsidRPr="00C61221" w:rsidRDefault="00BF3DD6" w:rsidP="00C61221">
      <w:pPr>
        <w:tabs>
          <w:tab w:val="center" w:pos="1440"/>
          <w:tab w:val="center" w:pos="6120"/>
        </w:tabs>
        <w:ind w:right="-69"/>
        <w:jc w:val="center"/>
        <w:rPr>
          <w:b/>
          <w:sz w:val="28"/>
          <w:szCs w:val="28"/>
          <w:lang w:val="vi-VN"/>
        </w:rPr>
      </w:pPr>
      <w:r w:rsidRPr="00C61221">
        <w:rPr>
          <w:b/>
          <w:sz w:val="28"/>
          <w:szCs w:val="28"/>
        </w:rPr>
        <w:t>BÁO CÁO</w:t>
      </w:r>
    </w:p>
    <w:p w:rsidR="004517D4" w:rsidRDefault="004517D4" w:rsidP="00C61221">
      <w:pPr>
        <w:jc w:val="center"/>
        <w:rPr>
          <w:b/>
          <w:sz w:val="28"/>
          <w:szCs w:val="26"/>
          <w:lang w:eastAsia="zh-CN"/>
        </w:rPr>
      </w:pPr>
      <w:r w:rsidRPr="00C61221">
        <w:rPr>
          <w:b/>
          <w:sz w:val="28"/>
          <w:szCs w:val="26"/>
          <w:lang w:eastAsia="zh-CN"/>
        </w:rPr>
        <w:t>TỔNG KẾT 10 NĂM THI HÀNH LUẬT HỢP TÁC XÃ NĂM 2012</w:t>
      </w:r>
    </w:p>
    <w:p w:rsidR="000705B9" w:rsidRPr="00C61221" w:rsidRDefault="000705B9" w:rsidP="00C61221">
      <w:pPr>
        <w:jc w:val="center"/>
        <w:rPr>
          <w:b/>
          <w:sz w:val="28"/>
          <w:szCs w:val="26"/>
          <w:lang w:eastAsia="zh-CN"/>
        </w:rPr>
      </w:pPr>
      <w:r>
        <w:rPr>
          <w:b/>
          <w:sz w:val="28"/>
          <w:szCs w:val="26"/>
          <w:lang w:eastAsia="zh-CN"/>
        </w:rPr>
        <w:t>TRÊN ĐỊA BÀN TỈNH ĐỒNG THÁP</w:t>
      </w:r>
    </w:p>
    <w:p w:rsidR="00BF3DD6" w:rsidRPr="00C61221" w:rsidRDefault="001715E6" w:rsidP="00B57F02">
      <w:pPr>
        <w:spacing w:before="60" w:after="60"/>
        <w:jc w:val="center"/>
        <w:rPr>
          <w:sz w:val="28"/>
          <w:szCs w:val="28"/>
        </w:rPr>
      </w:pPr>
      <w:r w:rsidRPr="00C61221">
        <w:rPr>
          <w:noProof/>
          <w:sz w:val="28"/>
          <w:szCs w:val="28"/>
        </w:rPr>
        <mc:AlternateContent>
          <mc:Choice Requires="wps">
            <w:drawing>
              <wp:anchor distT="0" distB="0" distL="114300" distR="114300" simplePos="0" relativeHeight="251658752" behindDoc="0" locked="0" layoutInCell="1" allowOverlap="1" wp14:anchorId="6C1F8617" wp14:editId="106803B7">
                <wp:simplePos x="0" y="0"/>
                <wp:positionH relativeFrom="column">
                  <wp:posOffset>2419350</wp:posOffset>
                </wp:positionH>
                <wp:positionV relativeFrom="paragraph">
                  <wp:posOffset>74930</wp:posOffset>
                </wp:positionV>
                <wp:extent cx="920115" cy="0"/>
                <wp:effectExtent l="9525" t="8255" r="1333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7D9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9pt" to="262.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I2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"/>
            </w:pict>
          </mc:Fallback>
        </mc:AlternateContent>
      </w:r>
    </w:p>
    <w:p w:rsidR="00B57F02" w:rsidRPr="00C61221" w:rsidRDefault="00B57F02" w:rsidP="00C61221">
      <w:pPr>
        <w:jc w:val="center"/>
        <w:rPr>
          <w:rFonts w:eastAsia="Calibri"/>
          <w:b/>
          <w:bCs/>
          <w:sz w:val="28"/>
          <w:szCs w:val="28"/>
        </w:rPr>
      </w:pPr>
      <w:r w:rsidRPr="00C61221">
        <w:rPr>
          <w:rFonts w:eastAsia="Calibri"/>
          <w:b/>
          <w:bCs/>
          <w:sz w:val="28"/>
          <w:szCs w:val="28"/>
        </w:rPr>
        <w:t>Phần thứ nhất</w:t>
      </w:r>
    </w:p>
    <w:p w:rsidR="00B57F02" w:rsidRPr="00C61221" w:rsidRDefault="00B57F02" w:rsidP="00C61221">
      <w:pPr>
        <w:jc w:val="center"/>
        <w:rPr>
          <w:rFonts w:eastAsia="Calibri"/>
          <w:b/>
          <w:bCs/>
          <w:sz w:val="28"/>
          <w:szCs w:val="28"/>
        </w:rPr>
      </w:pPr>
      <w:r w:rsidRPr="00C61221">
        <w:rPr>
          <w:rFonts w:eastAsia="Calibri"/>
          <w:b/>
          <w:bCs/>
          <w:sz w:val="28"/>
          <w:szCs w:val="28"/>
        </w:rPr>
        <w:t>ĐÁNH GIÁ TÌNH HÌNH PHÁT TRIỂN KINH TẾ TẬP THỂ,</w:t>
      </w:r>
    </w:p>
    <w:p w:rsidR="00B57F02" w:rsidRPr="00C61221" w:rsidRDefault="00B57F02" w:rsidP="00C61221">
      <w:pPr>
        <w:jc w:val="center"/>
        <w:rPr>
          <w:rFonts w:eastAsia="Calibri"/>
          <w:sz w:val="28"/>
          <w:szCs w:val="28"/>
        </w:rPr>
      </w:pPr>
      <w:r w:rsidRPr="00C61221">
        <w:rPr>
          <w:rFonts w:eastAsia="Calibri"/>
          <w:b/>
          <w:bCs/>
          <w:sz w:val="28"/>
          <w:szCs w:val="28"/>
        </w:rPr>
        <w:t>HỢP TÁC XÃ NĂM 2021</w:t>
      </w:r>
    </w:p>
    <w:p w:rsidR="004517D4" w:rsidRPr="00C61221" w:rsidRDefault="00950D0D" w:rsidP="000705B9">
      <w:pPr>
        <w:tabs>
          <w:tab w:val="left" w:pos="567"/>
        </w:tabs>
        <w:spacing w:before="60" w:after="240"/>
        <w:ind w:firstLine="720"/>
        <w:jc w:val="both"/>
        <w:rPr>
          <w:b/>
          <w:bCs/>
          <w:spacing w:val="4"/>
          <w:sz w:val="28"/>
          <w:szCs w:val="28"/>
          <w:lang w:eastAsia="zh-CN"/>
        </w:rPr>
      </w:pPr>
      <w:bookmarkStart w:id="1" w:name="chuong_1"/>
      <w:r w:rsidRPr="00C61221">
        <w:rPr>
          <w:rFonts w:eastAsia="Calibri"/>
          <w:sz w:val="28"/>
          <w:szCs w:val="28"/>
        </w:rPr>
        <w:t> </w:t>
      </w:r>
      <w:r w:rsidR="004517D4" w:rsidRPr="00C61221">
        <w:rPr>
          <w:spacing w:val="4"/>
          <w:sz w:val="28"/>
          <w:szCs w:val="28"/>
          <w:lang w:val="vi-VN" w:eastAsia="zh-CN"/>
        </w:rPr>
        <w:t>Thực hiện Quy</w:t>
      </w:r>
      <w:r w:rsidRPr="00C61221">
        <w:rPr>
          <w:spacing w:val="4"/>
          <w:sz w:val="28"/>
          <w:szCs w:val="28"/>
          <w:lang w:val="vi-VN" w:eastAsia="zh-CN"/>
        </w:rPr>
        <w:t xml:space="preserve">ết định số 76/QĐ-BCĐĐMPTKTTTHTX </w:t>
      </w:r>
      <w:r w:rsidR="004517D4" w:rsidRPr="00C61221">
        <w:rPr>
          <w:spacing w:val="4"/>
          <w:sz w:val="28"/>
          <w:szCs w:val="28"/>
          <w:lang w:val="vi-VN" w:eastAsia="zh-CN"/>
        </w:rPr>
        <w:t xml:space="preserve">ngày 02/8/2021 của Ban Chỉ đạo Đổi mới, Phát triển kinh tế tập thể, hợp tác xã về ban hành Kế hoạch tổng kết 10 năm thi hành Luật Hợp tác xã năm 2012; Quyết định số 1078/QĐ-BKHĐT ngày 06/8/2021 của Bộ Kế hoạch và Đầu tư về ban hành Đề cương và Danh mục Báo cáo chuyên đề tổng kết 10 năm thi hành Luật Hợp tác xã năm 2012; Công văn số 388-CV/TU ngày 10/8/2021 của Tỉnh uỷ về việc tổng kết 10 năm thi hành Luật Hợp tác xã năm 2012, Uỷ ban nhân dân </w:t>
      </w:r>
      <w:r w:rsidR="000705B9">
        <w:rPr>
          <w:spacing w:val="4"/>
          <w:sz w:val="28"/>
          <w:szCs w:val="28"/>
          <w:lang w:eastAsia="zh-CN"/>
        </w:rPr>
        <w:t>t</w:t>
      </w:r>
      <w:r w:rsidR="004517D4" w:rsidRPr="00C61221">
        <w:rPr>
          <w:spacing w:val="4"/>
          <w:sz w:val="28"/>
          <w:szCs w:val="28"/>
          <w:lang w:val="vi-VN" w:eastAsia="zh-CN"/>
        </w:rPr>
        <w:t xml:space="preserve">ỉnh </w:t>
      </w:r>
      <w:r w:rsidR="000705B9">
        <w:rPr>
          <w:spacing w:val="4"/>
          <w:sz w:val="28"/>
          <w:szCs w:val="28"/>
          <w:lang w:eastAsia="zh-CN"/>
        </w:rPr>
        <w:t xml:space="preserve">Đồng Tháp </w:t>
      </w:r>
      <w:r w:rsidR="004517D4" w:rsidRPr="00C61221">
        <w:rPr>
          <w:spacing w:val="4"/>
          <w:sz w:val="28"/>
          <w:szCs w:val="28"/>
          <w:lang w:val="vi-VN" w:eastAsia="zh-CN"/>
        </w:rPr>
        <w:t>báo cáo Tổng kết 10 năm thi hành Luật Hợp tá</w:t>
      </w:r>
      <w:r w:rsidR="000705B9">
        <w:rPr>
          <w:spacing w:val="4"/>
          <w:sz w:val="28"/>
          <w:szCs w:val="28"/>
          <w:lang w:val="vi-VN" w:eastAsia="zh-CN"/>
        </w:rPr>
        <w:t xml:space="preserve">c xã năm 2012 trên địa bàn </w:t>
      </w:r>
      <w:r w:rsidR="000705B9">
        <w:rPr>
          <w:spacing w:val="4"/>
          <w:sz w:val="28"/>
          <w:szCs w:val="28"/>
          <w:lang w:eastAsia="zh-CN"/>
        </w:rPr>
        <w:t>T</w:t>
      </w:r>
      <w:r w:rsidR="000705B9">
        <w:rPr>
          <w:spacing w:val="4"/>
          <w:sz w:val="28"/>
          <w:szCs w:val="28"/>
          <w:lang w:val="vi-VN" w:eastAsia="zh-CN"/>
        </w:rPr>
        <w:t>ỉnh</w:t>
      </w:r>
      <w:r w:rsidR="004517D4" w:rsidRPr="00C61221">
        <w:rPr>
          <w:spacing w:val="4"/>
          <w:sz w:val="28"/>
          <w:szCs w:val="28"/>
          <w:lang w:val="vi-VN" w:eastAsia="zh-CN"/>
        </w:rPr>
        <w:t xml:space="preserve">, </w:t>
      </w:r>
      <w:r w:rsidR="00C61221" w:rsidRPr="00C61221">
        <w:rPr>
          <w:spacing w:val="4"/>
          <w:sz w:val="28"/>
          <w:szCs w:val="28"/>
          <w:lang w:eastAsia="zh-CN"/>
        </w:rPr>
        <w:t xml:space="preserve">nội dung cụ thể </w:t>
      </w:r>
      <w:r w:rsidR="004517D4" w:rsidRPr="00C61221">
        <w:rPr>
          <w:spacing w:val="4"/>
          <w:sz w:val="28"/>
          <w:szCs w:val="28"/>
          <w:lang w:val="vi-VN" w:eastAsia="zh-CN"/>
        </w:rPr>
        <w:t>như sau</w:t>
      </w:r>
      <w:r w:rsidR="004517D4" w:rsidRPr="00C61221">
        <w:rPr>
          <w:spacing w:val="4"/>
          <w:sz w:val="28"/>
          <w:szCs w:val="28"/>
          <w:lang w:eastAsia="zh-CN"/>
        </w:rPr>
        <w:t>:</w:t>
      </w:r>
    </w:p>
    <w:p w:rsidR="004517D4" w:rsidRPr="00C61221" w:rsidRDefault="004517D4" w:rsidP="000705B9">
      <w:pPr>
        <w:spacing w:before="60" w:after="240"/>
        <w:jc w:val="center"/>
        <w:outlineLvl w:val="0"/>
        <w:rPr>
          <w:rFonts w:eastAsia="Calibri"/>
          <w:b/>
          <w:sz w:val="28"/>
          <w:szCs w:val="28"/>
          <w:lang w:val="de-DE"/>
        </w:rPr>
      </w:pPr>
      <w:r w:rsidRPr="00C61221">
        <w:rPr>
          <w:rFonts w:eastAsia="Calibri"/>
          <w:b/>
          <w:sz w:val="28"/>
          <w:szCs w:val="28"/>
          <w:lang w:val="de-DE"/>
        </w:rPr>
        <w:t>ĐẶT VẤN ĐỀ</w:t>
      </w:r>
    </w:p>
    <w:p w:rsidR="004517D4" w:rsidRPr="00C61221" w:rsidRDefault="004517D4" w:rsidP="00C61221">
      <w:pPr>
        <w:spacing w:before="60" w:after="60"/>
        <w:ind w:firstLine="720"/>
        <w:jc w:val="both"/>
        <w:rPr>
          <w:b/>
          <w:bCs/>
          <w:sz w:val="28"/>
          <w:szCs w:val="28"/>
          <w:lang w:eastAsia="zh-CN"/>
        </w:rPr>
      </w:pPr>
      <w:r w:rsidRPr="00C61221">
        <w:rPr>
          <w:b/>
          <w:bCs/>
          <w:sz w:val="28"/>
          <w:szCs w:val="28"/>
          <w:lang w:eastAsia="zh-CN"/>
        </w:rPr>
        <w:t>1. Sự cần thiết của việc tổng kết 10 năm th</w:t>
      </w:r>
      <w:r w:rsidR="000705B9">
        <w:rPr>
          <w:b/>
          <w:bCs/>
          <w:sz w:val="28"/>
          <w:szCs w:val="28"/>
          <w:lang w:eastAsia="zh-CN"/>
        </w:rPr>
        <w:t>i hành Luật Hợp tác xã năm 2012</w:t>
      </w:r>
    </w:p>
    <w:p w:rsidR="004517D4" w:rsidRPr="00C61221" w:rsidRDefault="004517D4" w:rsidP="00C61221">
      <w:pPr>
        <w:spacing w:before="60" w:after="60"/>
        <w:ind w:firstLine="720"/>
        <w:jc w:val="both"/>
        <w:rPr>
          <w:bCs/>
          <w:i/>
          <w:sz w:val="28"/>
          <w:szCs w:val="28"/>
          <w:lang w:eastAsia="zh-CN"/>
        </w:rPr>
      </w:pPr>
      <w:r w:rsidRPr="00C61221">
        <w:rPr>
          <w:bCs/>
          <w:i/>
          <w:sz w:val="28"/>
          <w:szCs w:val="28"/>
          <w:lang w:eastAsia="zh-CN"/>
        </w:rPr>
        <w:t>1.1. Bối cảnh và tình hình tổ chức triển khai thực hiện Luật Hợp tác xã năm 2012 (từ năm 2012 đến nay).</w:t>
      </w:r>
    </w:p>
    <w:p w:rsidR="004517D4" w:rsidRPr="00C61221" w:rsidRDefault="004517D4" w:rsidP="00C61221">
      <w:pPr>
        <w:spacing w:before="60" w:after="60"/>
        <w:ind w:firstLine="720"/>
        <w:jc w:val="both"/>
        <w:rPr>
          <w:sz w:val="28"/>
          <w:szCs w:val="28"/>
          <w:lang w:val="pt-BR" w:eastAsia="vi-VN"/>
        </w:rPr>
      </w:pPr>
      <w:r w:rsidRPr="00C61221">
        <w:rPr>
          <w:sz w:val="28"/>
          <w:szCs w:val="28"/>
          <w:lang w:eastAsia="zh-CN"/>
        </w:rPr>
        <w:t xml:space="preserve">Luật Hợp tác xã 2012 ra đời trong bối cảnh </w:t>
      </w:r>
      <w:r w:rsidRPr="00C61221">
        <w:rPr>
          <w:sz w:val="28"/>
          <w:szCs w:val="28"/>
          <w:lang w:val="pt-BR" w:eastAsia="vi-VN"/>
        </w:rPr>
        <w:t>k</w:t>
      </w:r>
      <w:r w:rsidRPr="00C61221">
        <w:rPr>
          <w:sz w:val="28"/>
          <w:szCs w:val="28"/>
          <w:lang w:val="vi-VN" w:eastAsia="vi-VN"/>
        </w:rPr>
        <w:t xml:space="preserve">hu vực </w:t>
      </w:r>
      <w:r w:rsidRPr="00C61221">
        <w:rPr>
          <w:sz w:val="28"/>
          <w:szCs w:val="28"/>
          <w:lang w:eastAsia="vi-VN"/>
        </w:rPr>
        <w:t>kinh tế tập thể, hợp tác xã (</w:t>
      </w:r>
      <w:r w:rsidRPr="00C61221">
        <w:rPr>
          <w:sz w:val="28"/>
          <w:szCs w:val="28"/>
          <w:lang w:val="pt-BR" w:eastAsia="vi-VN"/>
        </w:rPr>
        <w:t>KTTT</w:t>
      </w:r>
      <w:r w:rsidRPr="00C61221">
        <w:rPr>
          <w:sz w:val="28"/>
          <w:szCs w:val="28"/>
          <w:lang w:val="vi-VN" w:eastAsia="vi-VN"/>
        </w:rPr>
        <w:t xml:space="preserve">, </w:t>
      </w:r>
      <w:r w:rsidRPr="00C61221">
        <w:rPr>
          <w:sz w:val="28"/>
          <w:szCs w:val="28"/>
          <w:lang w:val="pt-BR" w:eastAsia="vi-VN"/>
        </w:rPr>
        <w:t>HTX)</w:t>
      </w:r>
      <w:r w:rsidRPr="00C61221">
        <w:rPr>
          <w:sz w:val="28"/>
          <w:szCs w:val="28"/>
          <w:lang w:eastAsia="vi-VN"/>
        </w:rPr>
        <w:t xml:space="preserve"> của nước ta </w:t>
      </w:r>
      <w:r w:rsidRPr="00C61221">
        <w:rPr>
          <w:sz w:val="28"/>
          <w:szCs w:val="28"/>
          <w:lang w:val="vi-VN" w:eastAsia="vi-VN"/>
        </w:rPr>
        <w:t xml:space="preserve">có bước phát triển về số lượng và chất lượng, cơ bản khắc phục được tình trạng yếu kém kéo dài; xuất hiện thêm nhiều loại hình, mô hình </w:t>
      </w:r>
      <w:r w:rsidRPr="00C61221">
        <w:rPr>
          <w:sz w:val="28"/>
          <w:szCs w:val="28"/>
          <w:lang w:val="pt-BR" w:eastAsia="vi-VN"/>
        </w:rPr>
        <w:t>KTTT</w:t>
      </w:r>
      <w:r w:rsidRPr="00C61221">
        <w:rPr>
          <w:sz w:val="28"/>
          <w:szCs w:val="28"/>
          <w:lang w:val="vi-VN" w:eastAsia="vi-VN"/>
        </w:rPr>
        <w:t xml:space="preserve">, </w:t>
      </w:r>
      <w:r w:rsidRPr="00C61221">
        <w:rPr>
          <w:sz w:val="28"/>
          <w:szCs w:val="28"/>
          <w:lang w:val="pt-BR" w:eastAsia="vi-VN"/>
        </w:rPr>
        <w:t>HTX</w:t>
      </w:r>
      <w:r w:rsidRPr="00C61221">
        <w:rPr>
          <w:sz w:val="28"/>
          <w:szCs w:val="28"/>
          <w:lang w:val="vi-VN" w:eastAsia="vi-VN"/>
        </w:rPr>
        <w:t xml:space="preserve"> hoạt động hiệu quả, góp phần thúc đẩy phát triển kinh tế, tạo việc làm, tăng thu nhập, xoá đói, giảm nghèo cho các thành viên; từng bước khẳng định vị trí, vai trò của khu vực </w:t>
      </w:r>
      <w:r w:rsidRPr="00C61221">
        <w:rPr>
          <w:sz w:val="28"/>
          <w:szCs w:val="28"/>
          <w:lang w:val="pt-BR" w:eastAsia="vi-VN"/>
        </w:rPr>
        <w:t>KTTT</w:t>
      </w:r>
      <w:r w:rsidRPr="00C61221">
        <w:rPr>
          <w:sz w:val="28"/>
          <w:szCs w:val="28"/>
          <w:lang w:val="vi-VN" w:eastAsia="vi-VN"/>
        </w:rPr>
        <w:t xml:space="preserve">, </w:t>
      </w:r>
      <w:r w:rsidRPr="00C61221">
        <w:rPr>
          <w:sz w:val="28"/>
          <w:szCs w:val="28"/>
          <w:lang w:val="pt-BR" w:eastAsia="vi-VN"/>
        </w:rPr>
        <w:t>HTX</w:t>
      </w:r>
      <w:r w:rsidRPr="00C61221">
        <w:rPr>
          <w:sz w:val="28"/>
          <w:szCs w:val="28"/>
          <w:lang w:val="vi-VN" w:eastAsia="vi-VN"/>
        </w:rPr>
        <w:t xml:space="preserve"> trong nền kinh tế quốc dân.</w:t>
      </w:r>
      <w:r w:rsidRPr="00C61221">
        <w:rPr>
          <w:sz w:val="28"/>
          <w:szCs w:val="28"/>
          <w:lang w:eastAsia="vi-VN"/>
        </w:rPr>
        <w:t xml:space="preserve"> </w:t>
      </w:r>
      <w:r w:rsidRPr="00C61221">
        <w:rPr>
          <w:sz w:val="28"/>
          <w:szCs w:val="28"/>
          <w:lang w:val="pt-BR" w:eastAsia="vi-VN"/>
        </w:rPr>
        <w:t xml:space="preserve">HTX trong nước có nhiều cơ hội tiếp cận công nghệ sản xuất và công nghệ quản lý mới, tăng khả năng cạnh tranh hàng hóa thị trường trong nước và quốc tế. </w:t>
      </w:r>
    </w:p>
    <w:p w:rsidR="004517D4" w:rsidRPr="00F81421" w:rsidRDefault="004517D4" w:rsidP="00C61221">
      <w:pPr>
        <w:spacing w:before="60" w:after="60"/>
        <w:ind w:firstLine="720"/>
        <w:jc w:val="both"/>
        <w:rPr>
          <w:rFonts w:eastAsia="Arial"/>
          <w:b/>
          <w:spacing w:val="-2"/>
          <w:sz w:val="28"/>
          <w:szCs w:val="28"/>
          <w:lang w:eastAsia="zh-CN"/>
        </w:rPr>
      </w:pPr>
      <w:r w:rsidRPr="00F81421">
        <w:rPr>
          <w:spacing w:val="-2"/>
          <w:sz w:val="28"/>
          <w:szCs w:val="28"/>
          <w:lang w:eastAsia="zh-CN"/>
        </w:rPr>
        <w:t xml:space="preserve">Trong khi đó, tình hình phát triển khu vực KTTT, HTX của Tỉnh có nhiều cơ hội, thuận lợi, nhưng cũng không ít những khó khăn, thách thức đan xen  trong điều kiện kinh tế - xã hội của </w:t>
      </w:r>
      <w:r w:rsidR="000705B9" w:rsidRPr="00F81421">
        <w:rPr>
          <w:spacing w:val="-2"/>
          <w:sz w:val="28"/>
          <w:szCs w:val="28"/>
          <w:lang w:eastAsia="zh-CN"/>
        </w:rPr>
        <w:t>T</w:t>
      </w:r>
      <w:r w:rsidRPr="00F81421">
        <w:rPr>
          <w:spacing w:val="-2"/>
          <w:sz w:val="28"/>
          <w:szCs w:val="28"/>
          <w:lang w:eastAsia="zh-CN"/>
        </w:rPr>
        <w:t>ỉnh</w:t>
      </w:r>
      <w:r w:rsidRPr="00F81421">
        <w:rPr>
          <w:spacing w:val="-2"/>
          <w:sz w:val="28"/>
          <w:szCs w:val="28"/>
          <w:vertAlign w:val="superscript"/>
          <w:lang w:eastAsia="zh-CN"/>
        </w:rPr>
        <w:t>(</w:t>
      </w:r>
      <w:r w:rsidRPr="00F81421">
        <w:rPr>
          <w:spacing w:val="-2"/>
          <w:sz w:val="28"/>
          <w:szCs w:val="28"/>
          <w:vertAlign w:val="superscript"/>
          <w:lang w:eastAsia="zh-CN"/>
        </w:rPr>
        <w:footnoteReference w:id="1"/>
      </w:r>
      <w:r w:rsidRPr="00F81421">
        <w:rPr>
          <w:spacing w:val="-2"/>
          <w:sz w:val="28"/>
          <w:szCs w:val="28"/>
          <w:vertAlign w:val="superscript"/>
          <w:lang w:eastAsia="zh-CN"/>
        </w:rPr>
        <w:t>)</w:t>
      </w:r>
      <w:r w:rsidRPr="00F81421">
        <w:rPr>
          <w:spacing w:val="-2"/>
          <w:sz w:val="28"/>
          <w:szCs w:val="28"/>
          <w:lang w:eastAsia="zh-CN"/>
        </w:rPr>
        <w:t xml:space="preserve">. Tuy nhiên, với việc được Trung ương chọn làm thí điểm thực hiện Đề án Tái cơ cấu ngành </w:t>
      </w:r>
      <w:r w:rsidR="000705B9" w:rsidRPr="00F81421">
        <w:rPr>
          <w:spacing w:val="-2"/>
          <w:sz w:val="28"/>
          <w:szCs w:val="28"/>
          <w:lang w:eastAsia="zh-CN"/>
        </w:rPr>
        <w:t>N</w:t>
      </w:r>
      <w:r w:rsidRPr="00F81421">
        <w:rPr>
          <w:spacing w:val="-2"/>
          <w:sz w:val="28"/>
          <w:szCs w:val="28"/>
          <w:lang w:eastAsia="zh-CN"/>
        </w:rPr>
        <w:t xml:space="preserve">ông nghiệp (TCCNN) đã tạo thêm thuận lợi trong việc mời gọi liên kết, hợp tác đầu tư trong và ngoài nước cho </w:t>
      </w:r>
      <w:r w:rsidRPr="00F81421">
        <w:rPr>
          <w:spacing w:val="-2"/>
          <w:sz w:val="28"/>
          <w:szCs w:val="28"/>
          <w:lang w:eastAsia="zh-CN"/>
        </w:rPr>
        <w:lastRenderedPageBreak/>
        <w:t>phát triển. Khu vực KTTT, HTX được tăng cường, củng cố, tạo điều kiện thuận lợi hoạt động để từng bước thực hiện vai trò đại diện nông dân trong các mô hình liên kết sản xuất, tiêu thụ sản phẩm.</w:t>
      </w:r>
      <w:r w:rsidR="00F81421" w:rsidRPr="00F81421">
        <w:rPr>
          <w:spacing w:val="-2"/>
          <w:sz w:val="28"/>
          <w:szCs w:val="28"/>
          <w:lang w:eastAsia="zh-CN"/>
        </w:rPr>
        <w:t xml:space="preserve"> </w:t>
      </w:r>
      <w:r w:rsidR="00F81421" w:rsidRPr="00F81421">
        <w:rPr>
          <w:bCs/>
          <w:spacing w:val="-2"/>
          <w:sz w:val="28"/>
          <w:szCs w:val="28"/>
          <w:lang w:eastAsia="zh-CN"/>
        </w:rPr>
        <w:t>Triển khai thực hiện Đề án Tái cơ cấu ngành Nông nghiệp</w:t>
      </w:r>
      <w:r w:rsidRPr="00F81421">
        <w:rPr>
          <w:bCs/>
          <w:spacing w:val="-2"/>
          <w:sz w:val="28"/>
          <w:szCs w:val="28"/>
          <w:lang w:eastAsia="zh-CN"/>
        </w:rPr>
        <w:t xml:space="preserve"> với nội dung </w:t>
      </w:r>
      <w:r w:rsidRPr="00F81421">
        <w:rPr>
          <w:bCs/>
          <w:i/>
          <w:spacing w:val="-2"/>
          <w:sz w:val="28"/>
          <w:szCs w:val="28"/>
          <w:lang w:eastAsia="zh-CN"/>
        </w:rPr>
        <w:t>“Hợp tác - Liên kết - Thị trường” và “Giảm chi phí - Tăng chất lượng - Chế biến tinh”</w:t>
      </w:r>
      <w:r w:rsidRPr="00F81421">
        <w:rPr>
          <w:bCs/>
          <w:spacing w:val="-2"/>
          <w:sz w:val="28"/>
          <w:szCs w:val="28"/>
          <w:lang w:eastAsia="zh-CN"/>
        </w:rPr>
        <w:t xml:space="preserve"> mang lại nhiều kết quả thiết thực. Nhiều mô hình chuyển đổi theo hướng thích ứng với biến đổi khí hậu đã được triển khai và có kết quả bước đầu; nhiều mô hình nông nghiệp công nghệ cao, nông nghiệp thông minh, nông nghiệp sạch mở ra hướng tiếp cận mới cho nông nghiệp thích ứng </w:t>
      </w:r>
      <w:r w:rsidR="000705B9" w:rsidRPr="00F81421">
        <w:rPr>
          <w:bCs/>
          <w:spacing w:val="-2"/>
          <w:sz w:val="28"/>
          <w:szCs w:val="28"/>
          <w:lang w:eastAsia="zh-CN"/>
        </w:rPr>
        <w:t>C</w:t>
      </w:r>
      <w:r w:rsidRPr="00F81421">
        <w:rPr>
          <w:bCs/>
          <w:spacing w:val="-2"/>
          <w:sz w:val="28"/>
          <w:szCs w:val="28"/>
          <w:lang w:eastAsia="zh-CN"/>
        </w:rPr>
        <w:t xml:space="preserve">uộc </w:t>
      </w:r>
      <w:r w:rsidR="00F81421" w:rsidRPr="00F81421">
        <w:rPr>
          <w:bCs/>
          <w:spacing w:val="-2"/>
          <w:sz w:val="28"/>
          <w:szCs w:val="28"/>
          <w:lang w:eastAsia="zh-CN"/>
        </w:rPr>
        <w:t>Cách mạng công nghiệp 4.0</w:t>
      </w:r>
      <w:r w:rsidRPr="00F81421">
        <w:rPr>
          <w:bCs/>
          <w:spacing w:val="-2"/>
          <w:sz w:val="28"/>
          <w:szCs w:val="28"/>
          <w:lang w:eastAsia="zh-CN"/>
        </w:rPr>
        <w:t xml:space="preserve">; </w:t>
      </w:r>
      <w:r w:rsidR="00F81421" w:rsidRPr="00F81421">
        <w:rPr>
          <w:spacing w:val="-2"/>
          <w:sz w:val="28"/>
          <w:szCs w:val="28"/>
          <w:lang w:val="nl-NL" w:eastAsia="zh-CN"/>
        </w:rPr>
        <w:t xml:space="preserve">thúc đẩy </w:t>
      </w:r>
      <w:r w:rsidRPr="00F81421">
        <w:rPr>
          <w:spacing w:val="-2"/>
          <w:sz w:val="28"/>
          <w:szCs w:val="28"/>
          <w:lang w:val="nl-NL" w:eastAsia="zh-CN"/>
        </w:rPr>
        <w:t>tinh thần hợp tác</w:t>
      </w:r>
      <w:r w:rsidR="00F81421" w:rsidRPr="00F81421">
        <w:rPr>
          <w:spacing w:val="-2"/>
          <w:sz w:val="28"/>
          <w:szCs w:val="28"/>
          <w:lang w:val="nl-NL" w:eastAsia="zh-CN"/>
        </w:rPr>
        <w:t xml:space="preserve"> </w:t>
      </w:r>
      <w:r w:rsidRPr="00F81421">
        <w:rPr>
          <w:spacing w:val="-2"/>
          <w:sz w:val="28"/>
          <w:szCs w:val="28"/>
          <w:lang w:val="nl-NL" w:eastAsia="zh-CN"/>
        </w:rPr>
        <w:t>trong nông dân</w:t>
      </w:r>
      <w:r w:rsidRPr="00F81421">
        <w:rPr>
          <w:spacing w:val="-2"/>
          <w:sz w:val="28"/>
          <w:szCs w:val="28"/>
          <w:vertAlign w:val="superscript"/>
          <w:lang w:val="nl-NL" w:eastAsia="zh-CN"/>
        </w:rPr>
        <w:t>(</w:t>
      </w:r>
      <w:r w:rsidRPr="00F81421">
        <w:rPr>
          <w:bCs/>
          <w:spacing w:val="-2"/>
          <w:sz w:val="28"/>
          <w:szCs w:val="28"/>
          <w:vertAlign w:val="superscript"/>
          <w:lang w:eastAsia="zh-CN"/>
        </w:rPr>
        <w:footnoteReference w:id="2"/>
      </w:r>
      <w:r w:rsidRPr="00F81421">
        <w:rPr>
          <w:spacing w:val="-2"/>
          <w:sz w:val="28"/>
          <w:szCs w:val="28"/>
          <w:vertAlign w:val="superscript"/>
          <w:lang w:val="nl-NL" w:eastAsia="zh-CN"/>
        </w:rPr>
        <w:t>)</w:t>
      </w:r>
      <w:r w:rsidRPr="00F81421">
        <w:rPr>
          <w:spacing w:val="-2"/>
          <w:sz w:val="28"/>
          <w:szCs w:val="28"/>
          <w:lang w:val="nl-NL" w:eastAsia="zh-CN"/>
        </w:rPr>
        <w:t>.</w:t>
      </w:r>
      <w:r w:rsidR="00F81421" w:rsidRPr="00F81421">
        <w:rPr>
          <w:spacing w:val="-2"/>
          <w:sz w:val="28"/>
          <w:szCs w:val="28"/>
          <w:lang w:val="nl-NL" w:eastAsia="zh-CN"/>
        </w:rPr>
        <w:t xml:space="preserve"> Đồng thời, t</w:t>
      </w:r>
      <w:r w:rsidRPr="00F81421">
        <w:rPr>
          <w:bCs/>
          <w:spacing w:val="-2"/>
          <w:sz w:val="28"/>
          <w:szCs w:val="28"/>
          <w:bdr w:val="none" w:sz="0" w:space="0" w:color="auto" w:frame="1"/>
          <w:lang w:val="pt-BR" w:eastAsia="vi-VN"/>
        </w:rPr>
        <w:t xml:space="preserve">hực hiện Nghị quyết số 13-NQ/TW ngày 18/3/2002 của Ban chấp hành Trung ương Đảng khóa IX về </w:t>
      </w:r>
      <w:r w:rsidR="00F81421" w:rsidRPr="00F81421">
        <w:rPr>
          <w:bCs/>
          <w:spacing w:val="-2"/>
          <w:sz w:val="28"/>
          <w:szCs w:val="28"/>
          <w:bdr w:val="none" w:sz="0" w:space="0" w:color="auto" w:frame="1"/>
          <w:lang w:val="pt-BR" w:eastAsia="vi-VN"/>
        </w:rPr>
        <w:t>t</w:t>
      </w:r>
      <w:r w:rsidRPr="00F81421">
        <w:rPr>
          <w:bCs/>
          <w:spacing w:val="-2"/>
          <w:sz w:val="28"/>
          <w:szCs w:val="28"/>
          <w:bdr w:val="none" w:sz="0" w:space="0" w:color="auto" w:frame="1"/>
          <w:lang w:val="pt-BR" w:eastAsia="vi-VN"/>
        </w:rPr>
        <w:t>iếp tục đổi mới, phát triển và nâ</w:t>
      </w:r>
      <w:r w:rsidR="00F81421" w:rsidRPr="00F81421">
        <w:rPr>
          <w:bCs/>
          <w:spacing w:val="-2"/>
          <w:sz w:val="28"/>
          <w:szCs w:val="28"/>
          <w:bdr w:val="none" w:sz="0" w:space="0" w:color="auto" w:frame="1"/>
          <w:lang w:val="pt-BR" w:eastAsia="vi-VN"/>
        </w:rPr>
        <w:t>ng cao hiệu quả kinh tế tập thể</w:t>
      </w:r>
      <w:r w:rsidRPr="00F81421">
        <w:rPr>
          <w:bCs/>
          <w:spacing w:val="-2"/>
          <w:sz w:val="28"/>
          <w:szCs w:val="28"/>
          <w:bdr w:val="none" w:sz="0" w:space="0" w:color="auto" w:frame="1"/>
          <w:lang w:val="pt-BR" w:eastAsia="vi-VN"/>
        </w:rPr>
        <w:t xml:space="preserve">, một trong những kết quả quan trọng đạt được của </w:t>
      </w:r>
      <w:r w:rsidR="00F81421" w:rsidRPr="00F81421">
        <w:rPr>
          <w:bCs/>
          <w:spacing w:val="-2"/>
          <w:sz w:val="28"/>
          <w:szCs w:val="28"/>
          <w:bdr w:val="none" w:sz="0" w:space="0" w:color="auto" w:frame="1"/>
          <w:lang w:val="pt-BR" w:eastAsia="vi-VN"/>
        </w:rPr>
        <w:t>T</w:t>
      </w:r>
      <w:r w:rsidRPr="00F81421">
        <w:rPr>
          <w:bCs/>
          <w:spacing w:val="-2"/>
          <w:sz w:val="28"/>
          <w:szCs w:val="28"/>
          <w:bdr w:val="none" w:sz="0" w:space="0" w:color="auto" w:frame="1"/>
          <w:lang w:val="pt-BR" w:eastAsia="vi-VN"/>
        </w:rPr>
        <w:t xml:space="preserve">ỉnh là nâng cao nhận thức, vai trò của hệ thống chính trị đối với sự phát triển của KTTT gắn với TCCNN, xây dựng nông thôn mới (NTM) và giảm nghèo bền vững, góp phần phát triển </w:t>
      </w:r>
      <w:r w:rsidR="00F81421" w:rsidRPr="00F81421">
        <w:rPr>
          <w:bCs/>
          <w:spacing w:val="-2"/>
          <w:sz w:val="28"/>
          <w:szCs w:val="28"/>
          <w:bdr w:val="none" w:sz="0" w:space="0" w:color="auto" w:frame="1"/>
          <w:lang w:val="pt-BR" w:eastAsia="vi-VN"/>
        </w:rPr>
        <w:t>kinh tế - xã hội của địa phương</w:t>
      </w:r>
      <w:r w:rsidRPr="00F81421">
        <w:rPr>
          <w:bCs/>
          <w:spacing w:val="-2"/>
          <w:sz w:val="28"/>
          <w:szCs w:val="28"/>
          <w:bdr w:val="none" w:sz="0" w:space="0" w:color="auto" w:frame="1"/>
          <w:lang w:val="pt-BR" w:eastAsia="vi-VN"/>
        </w:rPr>
        <w:t>.</w:t>
      </w:r>
    </w:p>
    <w:p w:rsidR="004517D4" w:rsidRPr="003F446A" w:rsidRDefault="004517D4" w:rsidP="00C61221">
      <w:pPr>
        <w:spacing w:before="60" w:after="60"/>
        <w:ind w:firstLine="720"/>
        <w:jc w:val="both"/>
        <w:rPr>
          <w:sz w:val="28"/>
          <w:szCs w:val="28"/>
          <w:lang w:eastAsia="vi-VN"/>
        </w:rPr>
      </w:pPr>
      <w:r w:rsidRPr="00C61221">
        <w:rPr>
          <w:sz w:val="28"/>
          <w:szCs w:val="28"/>
          <w:lang w:val="vi-VN" w:eastAsia="vi-VN"/>
        </w:rPr>
        <w:t>KTTT</w:t>
      </w:r>
      <w:r w:rsidRPr="00C61221">
        <w:rPr>
          <w:sz w:val="28"/>
          <w:szCs w:val="28"/>
          <w:lang w:eastAsia="vi-VN"/>
        </w:rPr>
        <w:t>, HTX</w:t>
      </w:r>
      <w:r w:rsidRPr="00C61221">
        <w:rPr>
          <w:sz w:val="28"/>
          <w:szCs w:val="28"/>
          <w:lang w:val="vi-VN" w:eastAsia="vi-VN"/>
        </w:rPr>
        <w:t xml:space="preserve"> </w:t>
      </w:r>
      <w:r w:rsidRPr="00C61221">
        <w:rPr>
          <w:sz w:val="28"/>
          <w:szCs w:val="28"/>
          <w:lang w:eastAsia="vi-VN"/>
        </w:rPr>
        <w:t xml:space="preserve">phát triển </w:t>
      </w:r>
      <w:r w:rsidRPr="00C61221">
        <w:rPr>
          <w:sz w:val="28"/>
          <w:szCs w:val="28"/>
          <w:lang w:val="vi-VN" w:eastAsia="vi-VN"/>
        </w:rPr>
        <w:t>theo phương châm tích cực, vững chắc, xuất phát từ nhu cầu thực tiễn, đi từ thấp đến cao, đạt hiệu quả thiết thực</w:t>
      </w:r>
      <w:r w:rsidRPr="00C61221">
        <w:rPr>
          <w:sz w:val="28"/>
          <w:szCs w:val="28"/>
          <w:lang w:eastAsia="vi-VN"/>
        </w:rPr>
        <w:t xml:space="preserve"> </w:t>
      </w:r>
      <w:r w:rsidRPr="00C61221">
        <w:rPr>
          <w:sz w:val="28"/>
          <w:szCs w:val="28"/>
          <w:lang w:val="pt-BR" w:eastAsia="vi-VN"/>
        </w:rPr>
        <w:t>đã mang lại nhiều</w:t>
      </w:r>
      <w:r w:rsidRPr="00C61221">
        <w:rPr>
          <w:sz w:val="28"/>
          <w:szCs w:val="28"/>
          <w:lang w:val="vi-VN" w:eastAsia="vi-VN"/>
        </w:rPr>
        <w:t xml:space="preserve"> lợi ích c</w:t>
      </w:r>
      <w:r w:rsidRPr="00C61221">
        <w:rPr>
          <w:sz w:val="28"/>
          <w:szCs w:val="28"/>
          <w:lang w:val="pt-BR" w:eastAsia="vi-VN"/>
        </w:rPr>
        <w:t xml:space="preserve">ho </w:t>
      </w:r>
      <w:r w:rsidRPr="00C61221">
        <w:rPr>
          <w:sz w:val="28"/>
          <w:szCs w:val="28"/>
          <w:lang w:val="vi-VN" w:eastAsia="vi-VN"/>
        </w:rPr>
        <w:t>các thành viên và lợi ích tập thể, đồng thời coi trọng lợi ích xã hội của các thành viên, góp phần xoá đói, giảm nghèo; thành viên</w:t>
      </w:r>
      <w:r w:rsidRPr="00C61221">
        <w:rPr>
          <w:sz w:val="28"/>
          <w:szCs w:val="28"/>
          <w:lang w:eastAsia="vi-VN"/>
        </w:rPr>
        <w:t xml:space="preserve"> </w:t>
      </w:r>
      <w:r w:rsidRPr="00C61221">
        <w:rPr>
          <w:sz w:val="28"/>
          <w:szCs w:val="28"/>
          <w:lang w:val="vi-VN" w:eastAsia="vi-VN"/>
        </w:rPr>
        <w:t xml:space="preserve">làm giàu cho </w:t>
      </w:r>
      <w:r w:rsidRPr="00C61221">
        <w:rPr>
          <w:sz w:val="28"/>
          <w:szCs w:val="28"/>
          <w:lang w:eastAsia="vi-VN"/>
        </w:rPr>
        <w:t>chính mình đồng thời đóng góp vào</w:t>
      </w:r>
      <w:r w:rsidRPr="00C61221">
        <w:rPr>
          <w:sz w:val="28"/>
          <w:szCs w:val="28"/>
          <w:lang w:val="vi-VN" w:eastAsia="vi-VN"/>
        </w:rPr>
        <w:t xml:space="preserve"> phát triển cộng đồng</w:t>
      </w:r>
      <w:r w:rsidRPr="00C61221">
        <w:rPr>
          <w:sz w:val="28"/>
          <w:szCs w:val="28"/>
          <w:lang w:eastAsia="vi-VN"/>
        </w:rPr>
        <w:t>,</w:t>
      </w:r>
      <w:r w:rsidRPr="00C61221">
        <w:rPr>
          <w:sz w:val="28"/>
          <w:szCs w:val="28"/>
          <w:lang w:val="pt-BR" w:eastAsia="vi-VN"/>
        </w:rPr>
        <w:t xml:space="preserve"> góp phần xây dựng thành công NTM ở địa phương</w:t>
      </w:r>
      <w:r w:rsidRPr="00C61221">
        <w:rPr>
          <w:sz w:val="28"/>
          <w:szCs w:val="28"/>
          <w:vertAlign w:val="superscript"/>
          <w:lang w:val="pt-BR" w:eastAsia="vi-VN"/>
        </w:rPr>
        <w:t>(</w:t>
      </w:r>
      <w:r w:rsidRPr="00C61221">
        <w:rPr>
          <w:sz w:val="28"/>
          <w:szCs w:val="28"/>
          <w:vertAlign w:val="superscript"/>
          <w:lang w:val="pt-BR" w:eastAsia="vi-VN"/>
        </w:rPr>
        <w:footnoteReference w:id="3"/>
      </w:r>
      <w:r w:rsidRPr="00C61221">
        <w:rPr>
          <w:sz w:val="28"/>
          <w:szCs w:val="28"/>
          <w:vertAlign w:val="superscript"/>
          <w:lang w:val="pt-BR" w:eastAsia="vi-VN"/>
        </w:rPr>
        <w:t>)</w:t>
      </w:r>
      <w:r w:rsidR="003F446A">
        <w:rPr>
          <w:sz w:val="28"/>
          <w:szCs w:val="28"/>
          <w:lang w:val="pt-BR" w:eastAsia="vi-VN"/>
        </w:rPr>
        <w:t xml:space="preserve">. </w:t>
      </w:r>
    </w:p>
    <w:p w:rsidR="004517D4" w:rsidRPr="00C61221" w:rsidRDefault="004517D4" w:rsidP="00C61221">
      <w:pPr>
        <w:spacing w:before="60" w:after="60"/>
        <w:ind w:firstLine="720"/>
        <w:jc w:val="both"/>
        <w:rPr>
          <w:i/>
          <w:sz w:val="28"/>
          <w:szCs w:val="28"/>
          <w:lang w:eastAsia="vi-VN"/>
        </w:rPr>
      </w:pPr>
      <w:r w:rsidRPr="00C61221">
        <w:rPr>
          <w:bCs/>
          <w:i/>
          <w:sz w:val="28"/>
          <w:szCs w:val="28"/>
          <w:lang w:eastAsia="zh-CN"/>
        </w:rPr>
        <w:t xml:space="preserve">1.2. Sự cần thiết phải tổng kết thực tiễn, đánh giá lại tình hình thực hiện 10 năm thi hành Luật </w:t>
      </w:r>
      <w:r w:rsidR="003F446A">
        <w:rPr>
          <w:bCs/>
          <w:i/>
          <w:sz w:val="28"/>
          <w:szCs w:val="28"/>
          <w:lang w:eastAsia="zh-CN"/>
        </w:rPr>
        <w:t>HTX năm 2012</w:t>
      </w:r>
    </w:p>
    <w:p w:rsidR="004517D4" w:rsidRPr="00C61221" w:rsidRDefault="00E67092" w:rsidP="00C61221">
      <w:pPr>
        <w:spacing w:before="60" w:after="60"/>
        <w:ind w:firstLine="720"/>
        <w:jc w:val="both"/>
        <w:rPr>
          <w:sz w:val="28"/>
          <w:szCs w:val="28"/>
          <w:lang w:val="sv-SE" w:eastAsia="zh-CN"/>
        </w:rPr>
      </w:pPr>
      <w:r>
        <w:rPr>
          <w:bCs/>
          <w:sz w:val="28"/>
          <w:szCs w:val="28"/>
          <w:lang w:eastAsia="zh-CN"/>
        </w:rPr>
        <w:t xml:space="preserve">- </w:t>
      </w:r>
      <w:r w:rsidR="004517D4" w:rsidRPr="00C61221">
        <w:rPr>
          <w:bCs/>
          <w:sz w:val="28"/>
          <w:szCs w:val="28"/>
          <w:lang w:eastAsia="zh-CN"/>
        </w:rPr>
        <w:t xml:space="preserve">Qua 10 năm thi hành Luật </w:t>
      </w:r>
      <w:r w:rsidR="003F446A">
        <w:rPr>
          <w:bCs/>
          <w:sz w:val="28"/>
          <w:szCs w:val="28"/>
          <w:lang w:eastAsia="zh-CN"/>
        </w:rPr>
        <w:t>HTX</w:t>
      </w:r>
      <w:r w:rsidR="004517D4" w:rsidRPr="00C61221">
        <w:rPr>
          <w:bCs/>
          <w:sz w:val="28"/>
          <w:szCs w:val="28"/>
          <w:lang w:eastAsia="zh-CN"/>
        </w:rPr>
        <w:t xml:space="preserve"> năm 2012, khu vực KTTT với nòng cốt là HTX của Tỉnh bước đầu thể hiện chuyển biến về chất và lượng</w:t>
      </w:r>
      <w:r>
        <w:rPr>
          <w:bCs/>
          <w:sz w:val="28"/>
          <w:szCs w:val="28"/>
          <w:lang w:eastAsia="zh-CN"/>
        </w:rPr>
        <w:t xml:space="preserve">. </w:t>
      </w:r>
      <w:r w:rsidR="004517D4" w:rsidRPr="00C61221">
        <w:rPr>
          <w:sz w:val="28"/>
          <w:szCs w:val="28"/>
          <w:lang w:val="sv-SE" w:eastAsia="zh-CN"/>
        </w:rPr>
        <w:t xml:space="preserve">Các loại hình KTTT phát triển ở các lĩnh vực, ngành, nghề; HTX kinh doanh có lãi tăng, yếu kém giảm; củng cố, kiện toàn cơ cấu tổ chức, nâng cao năng lực nội tại, tích lũy đầu tư phát triển và đáp ứng nhu cầu, lợi ích của thành viên và người lao động; xuất hiện nhiều mô hình </w:t>
      </w:r>
      <w:r w:rsidR="003F446A">
        <w:rPr>
          <w:sz w:val="28"/>
          <w:szCs w:val="28"/>
          <w:lang w:val="sv-SE" w:eastAsia="zh-CN"/>
        </w:rPr>
        <w:t>HTX</w:t>
      </w:r>
      <w:r w:rsidR="004517D4" w:rsidRPr="00C61221">
        <w:rPr>
          <w:sz w:val="28"/>
          <w:szCs w:val="28"/>
          <w:lang w:val="sv-SE" w:eastAsia="zh-CN"/>
        </w:rPr>
        <w:t xml:space="preserve"> mới, điển hình tiên tiến. </w:t>
      </w:r>
      <w:r>
        <w:rPr>
          <w:sz w:val="28"/>
          <w:szCs w:val="28"/>
          <w:lang w:val="sv-SE" w:eastAsia="zh-CN"/>
        </w:rPr>
        <w:t>Cụ thể:</w:t>
      </w:r>
    </w:p>
    <w:p w:rsidR="004517D4" w:rsidRPr="00C61221" w:rsidRDefault="00E67092" w:rsidP="00C61221">
      <w:pPr>
        <w:spacing w:before="60" w:after="60"/>
        <w:ind w:firstLine="720"/>
        <w:jc w:val="both"/>
        <w:rPr>
          <w:sz w:val="28"/>
          <w:szCs w:val="28"/>
          <w:lang w:val="sv-SE" w:eastAsia="zh-CN"/>
        </w:rPr>
      </w:pPr>
      <w:r>
        <w:rPr>
          <w:sz w:val="28"/>
          <w:szCs w:val="28"/>
          <w:lang w:val="sv-SE" w:eastAsia="zh-CN"/>
        </w:rPr>
        <w:t xml:space="preserve">+ </w:t>
      </w:r>
      <w:r w:rsidR="004517D4" w:rsidRPr="003F446A">
        <w:rPr>
          <w:spacing w:val="-2"/>
          <w:sz w:val="28"/>
          <w:szCs w:val="28"/>
          <w:lang w:val="sv-SE" w:eastAsia="zh-CN"/>
        </w:rPr>
        <w:t>HTX chủ động liên kết với nhau, liên kết với các doanh nghiệp để thực hiện các dịch vụ đầu vào và tiêu thụ sản phẩm cho thành viên. Một số HTX đã mạnh dạn ứng dụng tiến bộ kỹ thuật để tổ chức sản xuất theo hướng an toàn, hữu cơ, chất lượng cao, xây dựng nhãn hiệu hàng hóa để đáp ứng nhu cầu ngày càng cao của thị trường; tham gia t</w:t>
      </w:r>
      <w:r w:rsidR="003F446A" w:rsidRPr="003F446A">
        <w:rPr>
          <w:spacing w:val="-2"/>
          <w:sz w:val="28"/>
          <w:szCs w:val="28"/>
          <w:lang w:val="sv-SE" w:eastAsia="zh-CN"/>
        </w:rPr>
        <w:t>ích cực vào thực hiện Đề án TCC</w:t>
      </w:r>
      <w:r w:rsidR="004517D4" w:rsidRPr="003F446A">
        <w:rPr>
          <w:spacing w:val="-2"/>
          <w:sz w:val="28"/>
          <w:szCs w:val="28"/>
          <w:lang w:val="sv-SE" w:eastAsia="zh-CN"/>
        </w:rPr>
        <w:t>NN, đặc biệt là sản phẩm chủ lực của Tỉnh như: gạo, xoài, cá tra, nhãn, quýt hồng và hoa kiểng...</w:t>
      </w:r>
      <w:r w:rsidR="004517D4" w:rsidRPr="00C61221">
        <w:rPr>
          <w:sz w:val="28"/>
          <w:szCs w:val="28"/>
          <w:lang w:val="sv-SE" w:eastAsia="zh-CN"/>
        </w:rPr>
        <w:t xml:space="preserve"> </w:t>
      </w:r>
    </w:p>
    <w:p w:rsidR="004517D4" w:rsidRPr="00C61221" w:rsidRDefault="00E67092" w:rsidP="00C61221">
      <w:pPr>
        <w:spacing w:before="60" w:after="60"/>
        <w:ind w:firstLine="720"/>
        <w:jc w:val="both"/>
        <w:rPr>
          <w:sz w:val="28"/>
          <w:szCs w:val="28"/>
          <w:lang w:val="sv-SE" w:eastAsia="zh-CN"/>
        </w:rPr>
      </w:pPr>
      <w:r>
        <w:rPr>
          <w:sz w:val="28"/>
          <w:szCs w:val="28"/>
          <w:lang w:val="sv-SE" w:eastAsia="zh-CN"/>
        </w:rPr>
        <w:t>+</w:t>
      </w:r>
      <w:r w:rsidR="004517D4" w:rsidRPr="00C61221">
        <w:rPr>
          <w:sz w:val="28"/>
          <w:szCs w:val="28"/>
          <w:lang w:val="sv-SE" w:eastAsia="zh-CN"/>
        </w:rPr>
        <w:t xml:space="preserve"> </w:t>
      </w:r>
      <w:r w:rsidR="004517D4" w:rsidRPr="00C61221">
        <w:rPr>
          <w:bCs/>
          <w:sz w:val="28"/>
          <w:szCs w:val="28"/>
          <w:lang w:eastAsia="zh-CN"/>
        </w:rPr>
        <w:t xml:space="preserve">Số lượng HTX tăng lên, doanh thu và thu nhập của người lao động trong HTX được cải thiện, từng bước hoạt động ổn định, qua đó, tác động tích cực đến kinh tế hộ thành viên, góp phần thực hiện xóa đói, giảm nghèo, ổn định an ninh, chính trị </w:t>
      </w:r>
      <w:r w:rsidR="004517D4" w:rsidRPr="00C61221">
        <w:rPr>
          <w:sz w:val="28"/>
          <w:szCs w:val="28"/>
          <w:lang w:val="sv-SE" w:eastAsia="zh-CN"/>
        </w:rPr>
        <w:t>trật tự an toàn xã hội và xây dựng NTM.</w:t>
      </w:r>
    </w:p>
    <w:p w:rsidR="004517D4" w:rsidRPr="00C61221" w:rsidRDefault="00E67092" w:rsidP="00C61221">
      <w:pPr>
        <w:spacing w:before="60" w:after="60"/>
        <w:ind w:firstLine="720"/>
        <w:jc w:val="both"/>
        <w:rPr>
          <w:sz w:val="28"/>
          <w:szCs w:val="28"/>
          <w:lang w:val="sv-SE" w:eastAsia="zh-CN"/>
        </w:rPr>
      </w:pPr>
      <w:r>
        <w:rPr>
          <w:sz w:val="28"/>
          <w:szCs w:val="28"/>
          <w:lang w:val="sv-SE" w:eastAsia="zh-CN"/>
        </w:rPr>
        <w:lastRenderedPageBreak/>
        <w:t>+</w:t>
      </w:r>
      <w:r w:rsidR="004517D4" w:rsidRPr="00C61221">
        <w:rPr>
          <w:sz w:val="28"/>
          <w:szCs w:val="28"/>
          <w:lang w:val="sv-SE" w:eastAsia="zh-CN"/>
        </w:rPr>
        <w:t xml:space="preserve"> Cấp </w:t>
      </w:r>
      <w:r w:rsidR="00015662">
        <w:rPr>
          <w:sz w:val="28"/>
          <w:szCs w:val="28"/>
          <w:lang w:val="sv-SE" w:eastAsia="zh-CN"/>
        </w:rPr>
        <w:t>uỷ</w:t>
      </w:r>
      <w:r w:rsidR="004517D4" w:rsidRPr="00C61221">
        <w:rPr>
          <w:sz w:val="28"/>
          <w:szCs w:val="28"/>
          <w:lang w:val="sv-SE" w:eastAsia="zh-CN"/>
        </w:rPr>
        <w:t xml:space="preserve">, chính quyền các cấp tập trung lãnh chỉ đạo việc đổi mới, phát triển KTTT, HTX; đã ban hành nhiều văn bản </w:t>
      </w:r>
      <w:r w:rsidR="004517D4" w:rsidRPr="00C61221">
        <w:rPr>
          <w:bCs/>
          <w:sz w:val="28"/>
          <w:szCs w:val="28"/>
          <w:lang w:eastAsia="zh-CN"/>
        </w:rPr>
        <w:t>triển khai thi hành Luật và ban hành chính sách riêng địa phương</w:t>
      </w:r>
      <w:r w:rsidR="004517D4" w:rsidRPr="00C61221">
        <w:rPr>
          <w:bCs/>
          <w:sz w:val="28"/>
          <w:szCs w:val="28"/>
          <w:vertAlign w:val="superscript"/>
          <w:lang w:eastAsia="zh-CN"/>
        </w:rPr>
        <w:t>(</w:t>
      </w:r>
      <w:r w:rsidR="004517D4" w:rsidRPr="00C61221">
        <w:rPr>
          <w:bCs/>
          <w:sz w:val="28"/>
          <w:szCs w:val="28"/>
          <w:vertAlign w:val="superscript"/>
          <w:lang w:eastAsia="zh-CN"/>
        </w:rPr>
        <w:footnoteReference w:id="4"/>
      </w:r>
      <w:r w:rsidR="004517D4" w:rsidRPr="00C61221">
        <w:rPr>
          <w:bCs/>
          <w:sz w:val="28"/>
          <w:szCs w:val="28"/>
          <w:vertAlign w:val="superscript"/>
          <w:lang w:eastAsia="zh-CN"/>
        </w:rPr>
        <w:t>)</w:t>
      </w:r>
      <w:r w:rsidR="004517D4" w:rsidRPr="00C61221">
        <w:rPr>
          <w:sz w:val="28"/>
          <w:szCs w:val="28"/>
          <w:lang w:val="sv-SE" w:eastAsia="zh-CN"/>
        </w:rPr>
        <w:t xml:space="preserve"> công tác triển khai học tập, quán triệt sâu rộng trong nội bộ và quần chúng nhân dân đã làm thay đổi nhận thức của cán bộ, đảng viên và nhân dân về vị trí, vai trò và tầm quan trọng của KTTT, HTX.</w:t>
      </w:r>
    </w:p>
    <w:p w:rsidR="004517D4" w:rsidRPr="00C61221" w:rsidRDefault="00E67092" w:rsidP="00C61221">
      <w:pPr>
        <w:spacing w:before="60" w:after="60"/>
        <w:ind w:firstLine="720"/>
        <w:jc w:val="both"/>
        <w:rPr>
          <w:sz w:val="28"/>
          <w:szCs w:val="28"/>
          <w:lang w:eastAsia="vi-VN"/>
        </w:rPr>
      </w:pPr>
      <w:r>
        <w:rPr>
          <w:sz w:val="28"/>
          <w:szCs w:val="28"/>
          <w:lang w:eastAsia="vi-VN"/>
        </w:rPr>
        <w:t xml:space="preserve">- </w:t>
      </w:r>
      <w:r w:rsidR="004517D4" w:rsidRPr="00C61221">
        <w:rPr>
          <w:sz w:val="28"/>
          <w:szCs w:val="28"/>
          <w:lang w:val="vi-VN" w:eastAsia="vi-VN"/>
        </w:rPr>
        <w:t xml:space="preserve">Tuy nhiên, khu vực </w:t>
      </w:r>
      <w:r w:rsidR="004517D4" w:rsidRPr="00C61221">
        <w:rPr>
          <w:sz w:val="28"/>
          <w:szCs w:val="28"/>
          <w:lang w:val="pt-BR" w:eastAsia="vi-VN"/>
        </w:rPr>
        <w:t>KTTT</w:t>
      </w:r>
      <w:r w:rsidR="004517D4" w:rsidRPr="00C61221">
        <w:rPr>
          <w:sz w:val="28"/>
          <w:szCs w:val="28"/>
          <w:lang w:val="vi-VN" w:eastAsia="vi-VN"/>
        </w:rPr>
        <w:t xml:space="preserve">, </w:t>
      </w:r>
      <w:r w:rsidR="004517D4" w:rsidRPr="00C61221">
        <w:rPr>
          <w:sz w:val="28"/>
          <w:szCs w:val="28"/>
          <w:lang w:val="pt-BR" w:eastAsia="vi-VN"/>
        </w:rPr>
        <w:t>HTX</w:t>
      </w:r>
      <w:r w:rsidR="004517D4" w:rsidRPr="00C61221">
        <w:rPr>
          <w:sz w:val="28"/>
          <w:szCs w:val="28"/>
          <w:lang w:val="vi-VN" w:eastAsia="vi-VN"/>
        </w:rPr>
        <w:t xml:space="preserve"> vẫn còn nhiều hạn chế như</w:t>
      </w:r>
      <w:r w:rsidR="004517D4" w:rsidRPr="00C61221">
        <w:rPr>
          <w:sz w:val="28"/>
          <w:szCs w:val="28"/>
          <w:lang w:eastAsia="vi-VN"/>
        </w:rPr>
        <w:t>:</w:t>
      </w:r>
    </w:p>
    <w:p w:rsidR="004517D4" w:rsidRPr="00C61221" w:rsidRDefault="00E67092" w:rsidP="00C61221">
      <w:pPr>
        <w:spacing w:before="60" w:after="60"/>
        <w:ind w:firstLine="720"/>
        <w:jc w:val="both"/>
        <w:rPr>
          <w:sz w:val="28"/>
          <w:szCs w:val="28"/>
          <w:lang w:eastAsia="zh-CN"/>
        </w:rPr>
      </w:pPr>
      <w:r>
        <w:rPr>
          <w:sz w:val="28"/>
          <w:szCs w:val="28"/>
          <w:lang w:eastAsia="vi-VN"/>
        </w:rPr>
        <w:t>+</w:t>
      </w:r>
      <w:r w:rsidR="004517D4" w:rsidRPr="00C61221">
        <w:rPr>
          <w:sz w:val="28"/>
          <w:szCs w:val="28"/>
          <w:lang w:val="vi-VN" w:eastAsia="vi-VN"/>
        </w:rPr>
        <w:t xml:space="preserve"> </w:t>
      </w:r>
      <w:r w:rsidR="004517D4" w:rsidRPr="00C61221">
        <w:rPr>
          <w:sz w:val="28"/>
          <w:szCs w:val="28"/>
          <w:lang w:eastAsia="vi-VN"/>
        </w:rPr>
        <w:t>T</w:t>
      </w:r>
      <w:r w:rsidR="004517D4" w:rsidRPr="00C61221">
        <w:rPr>
          <w:sz w:val="28"/>
          <w:szCs w:val="28"/>
          <w:lang w:val="vi-VN" w:eastAsia="vi-VN"/>
        </w:rPr>
        <w:t xml:space="preserve">ốc độ tăng trưởng còn thấp so với các khu vực kinh tế khác, tỷ lệ đóng góp vào GDP chưa đáp ứng yêu cầu; </w:t>
      </w:r>
      <w:r w:rsidR="004517D4" w:rsidRPr="00C61221">
        <w:rPr>
          <w:sz w:val="28"/>
          <w:szCs w:val="28"/>
          <w:lang w:eastAsia="vi-VN"/>
        </w:rPr>
        <w:t>ph</w:t>
      </w:r>
      <w:r w:rsidR="004517D4" w:rsidRPr="00C61221">
        <w:rPr>
          <w:sz w:val="28"/>
          <w:szCs w:val="28"/>
          <w:lang w:val="vi-VN" w:eastAsia="vi-VN"/>
        </w:rPr>
        <w:t xml:space="preserve">ần lớn tổ chức KTTT, HTX có quy mô nhỏ, phát triển không đồng đều giữa khu vực nông nghiệp và phi nông nghiệp. </w:t>
      </w:r>
    </w:p>
    <w:p w:rsidR="004517D4" w:rsidRPr="00C61221" w:rsidRDefault="00E67092" w:rsidP="00C61221">
      <w:pPr>
        <w:spacing w:before="60" w:after="60"/>
        <w:ind w:firstLine="720"/>
        <w:jc w:val="both"/>
        <w:rPr>
          <w:sz w:val="28"/>
          <w:szCs w:val="28"/>
          <w:lang w:eastAsia="zh-CN"/>
        </w:rPr>
      </w:pPr>
      <w:r>
        <w:rPr>
          <w:bCs/>
          <w:sz w:val="28"/>
          <w:szCs w:val="28"/>
          <w:lang w:eastAsia="zh-CN"/>
        </w:rPr>
        <w:t>+</w:t>
      </w:r>
      <w:r w:rsidR="004517D4" w:rsidRPr="00C61221">
        <w:rPr>
          <w:bCs/>
          <w:sz w:val="28"/>
          <w:szCs w:val="28"/>
          <w:lang w:eastAsia="zh-CN"/>
        </w:rPr>
        <w:t xml:space="preserve"> Các quy định về ưu đãi, hỗ trợ cho các HTX nhưng thực tế các chính sách này đi vào cuộc sống chưa nhiều.</w:t>
      </w:r>
    </w:p>
    <w:p w:rsidR="004517D4" w:rsidRPr="00C61221" w:rsidRDefault="00E67092" w:rsidP="00C61221">
      <w:pPr>
        <w:spacing w:before="60" w:after="60"/>
        <w:ind w:firstLine="720"/>
        <w:jc w:val="both"/>
        <w:rPr>
          <w:sz w:val="28"/>
          <w:szCs w:val="28"/>
          <w:lang w:eastAsia="zh-CN"/>
        </w:rPr>
      </w:pPr>
      <w:r>
        <w:rPr>
          <w:bCs/>
          <w:sz w:val="28"/>
          <w:szCs w:val="28"/>
          <w:lang w:eastAsia="zh-CN"/>
        </w:rPr>
        <w:t>+</w:t>
      </w:r>
      <w:r w:rsidR="004517D4" w:rsidRPr="00C61221">
        <w:rPr>
          <w:bCs/>
          <w:sz w:val="28"/>
          <w:szCs w:val="28"/>
          <w:lang w:eastAsia="zh-CN"/>
        </w:rPr>
        <w:t xml:space="preserve"> Đa số các HTX chưa được đào tạo, tập huấn sâu về pháp luật HTX nên chưa tiếp cận được các chính sách hỗ trợ, ưu đãi của nhà nước và chưa phát huy hết tiềm năng và thế mạnh của mô hình HTX.</w:t>
      </w:r>
    </w:p>
    <w:p w:rsidR="004517D4" w:rsidRPr="00C61221" w:rsidRDefault="00E67092" w:rsidP="00C61221">
      <w:pPr>
        <w:spacing w:before="60" w:after="60"/>
        <w:ind w:firstLine="720"/>
        <w:jc w:val="both"/>
        <w:rPr>
          <w:sz w:val="28"/>
          <w:szCs w:val="28"/>
          <w:lang w:eastAsia="zh-CN"/>
        </w:rPr>
      </w:pPr>
      <w:r>
        <w:rPr>
          <w:bCs/>
          <w:sz w:val="28"/>
          <w:szCs w:val="28"/>
          <w:lang w:eastAsia="zh-CN"/>
        </w:rPr>
        <w:t xml:space="preserve">+ </w:t>
      </w:r>
      <w:r w:rsidR="004517D4" w:rsidRPr="00C61221">
        <w:rPr>
          <w:bCs/>
          <w:sz w:val="28"/>
          <w:szCs w:val="28"/>
          <w:lang w:eastAsia="zh-CN"/>
        </w:rPr>
        <w:t>Bộ máy quản lý nhà nước về KTTT, HTX vừa yếu, vừa thiếu và vừa phân tán, đa phần là các cán bộ kiêm nhiệm, thường xuyên thay đổi, chức năng quản lý nhà nước về KTTT, HTX tại địa phương dàn trải ở nhiều cơ quan, nhiều đơn vị khác nhau.</w:t>
      </w:r>
    </w:p>
    <w:p w:rsidR="004517D4" w:rsidRPr="00E67092" w:rsidRDefault="00E67092" w:rsidP="00C61221">
      <w:pPr>
        <w:spacing w:before="60" w:after="60"/>
        <w:ind w:firstLine="720"/>
        <w:jc w:val="both"/>
        <w:rPr>
          <w:bCs/>
          <w:spacing w:val="-4"/>
          <w:sz w:val="28"/>
          <w:szCs w:val="28"/>
          <w:lang w:eastAsia="zh-CN"/>
        </w:rPr>
      </w:pPr>
      <w:r>
        <w:rPr>
          <w:bCs/>
          <w:sz w:val="28"/>
          <w:szCs w:val="28"/>
          <w:lang w:eastAsia="zh-CN"/>
        </w:rPr>
        <w:t>+</w:t>
      </w:r>
      <w:r w:rsidR="004517D4" w:rsidRPr="00C61221">
        <w:rPr>
          <w:bCs/>
          <w:sz w:val="28"/>
          <w:szCs w:val="28"/>
          <w:lang w:eastAsia="zh-CN"/>
        </w:rPr>
        <w:t xml:space="preserve"> </w:t>
      </w:r>
      <w:r w:rsidR="004517D4" w:rsidRPr="00E67092">
        <w:rPr>
          <w:bCs/>
          <w:spacing w:val="4"/>
          <w:sz w:val="28"/>
          <w:szCs w:val="28"/>
          <w:lang w:eastAsia="zh-CN"/>
        </w:rPr>
        <w:t>Công tác bồi dưỡng, đào tạo cán bộ quản lý nhà nước về KTTT các cấp chưa đáp ứng được yêu cầu, chưa đào tạo, bồi dưỡng chuyên sâu về kiến thức HTX.</w:t>
      </w:r>
    </w:p>
    <w:p w:rsidR="004517D4" w:rsidRPr="00C61221" w:rsidRDefault="00E67092" w:rsidP="00C61221">
      <w:pPr>
        <w:spacing w:before="60" w:after="60"/>
        <w:ind w:firstLine="720"/>
        <w:jc w:val="both"/>
        <w:rPr>
          <w:sz w:val="28"/>
          <w:szCs w:val="28"/>
          <w:lang w:eastAsia="zh-CN"/>
        </w:rPr>
      </w:pPr>
      <w:r>
        <w:rPr>
          <w:bCs/>
          <w:sz w:val="28"/>
          <w:szCs w:val="28"/>
          <w:lang w:eastAsia="zh-CN"/>
        </w:rPr>
        <w:t xml:space="preserve">- </w:t>
      </w:r>
      <w:r w:rsidR="004517D4" w:rsidRPr="00C61221">
        <w:rPr>
          <w:bCs/>
          <w:sz w:val="28"/>
          <w:szCs w:val="28"/>
          <w:lang w:eastAsia="zh-CN"/>
        </w:rPr>
        <w:t xml:space="preserve">Do đó, tổng kết thực tiễn, đánh giá lại tình hình thực hiện 10 năm thi hành Luật </w:t>
      </w:r>
      <w:r w:rsidR="003F446A">
        <w:rPr>
          <w:bCs/>
          <w:sz w:val="28"/>
          <w:szCs w:val="28"/>
          <w:lang w:eastAsia="zh-CN"/>
        </w:rPr>
        <w:t>HTX</w:t>
      </w:r>
      <w:r w:rsidR="004517D4" w:rsidRPr="00C61221">
        <w:rPr>
          <w:bCs/>
          <w:sz w:val="28"/>
          <w:szCs w:val="28"/>
          <w:lang w:eastAsia="zh-CN"/>
        </w:rPr>
        <w:t xml:space="preserve"> năm 2012 để có những giải pháp phát huy hơn nữa những thành tựu đã đạt được, khắc phục những mặt hạn chế, yếu kém trong bối cảnh tình hình kinh tế - xã hội hiện nay của Tỉnh đặt trong điều kiện chung của cả nước với nhiều chuyển biến trong khu vực và trên thế giới.</w:t>
      </w:r>
    </w:p>
    <w:p w:rsidR="004517D4" w:rsidRPr="00C61221" w:rsidRDefault="004517D4" w:rsidP="00C61221">
      <w:pPr>
        <w:spacing w:before="60" w:after="60"/>
        <w:ind w:firstLine="720"/>
        <w:jc w:val="both"/>
        <w:rPr>
          <w:b/>
          <w:bCs/>
          <w:sz w:val="28"/>
          <w:szCs w:val="28"/>
          <w:lang w:eastAsia="zh-CN"/>
        </w:rPr>
      </w:pPr>
      <w:r w:rsidRPr="00BF058D">
        <w:rPr>
          <w:b/>
          <w:bCs/>
          <w:sz w:val="28"/>
          <w:szCs w:val="28"/>
          <w:lang w:eastAsia="zh-CN"/>
        </w:rPr>
        <w:t>2. Căn cứ tiến hành tổng kết</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t xml:space="preserve">- Luật HTX </w:t>
      </w:r>
      <w:r w:rsidR="009003FE">
        <w:rPr>
          <w:bCs/>
          <w:sz w:val="28"/>
          <w:szCs w:val="28"/>
          <w:lang w:eastAsia="zh-CN"/>
        </w:rPr>
        <w:t>ngày 20/11/</w:t>
      </w:r>
      <w:r w:rsidR="00BF058D">
        <w:rPr>
          <w:bCs/>
          <w:sz w:val="28"/>
          <w:szCs w:val="28"/>
          <w:lang w:eastAsia="zh-CN"/>
        </w:rPr>
        <w:t xml:space="preserve">2012. </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t xml:space="preserve">- Kết luận số 70-KL/TW ngày 09/3/2020 của Bộ Chính trị về tiếp tục thực hiện Nghị quyết Trung ương 5 khóa IX về tiếp tục đổi mới, phát </w:t>
      </w:r>
      <w:r w:rsidR="00BF058D">
        <w:rPr>
          <w:bCs/>
          <w:sz w:val="28"/>
          <w:szCs w:val="28"/>
          <w:lang w:eastAsia="zh-CN"/>
        </w:rPr>
        <w:t xml:space="preserve">triển và nâng cao hiệu quả KTTT. </w:t>
      </w:r>
    </w:p>
    <w:p w:rsidR="00BF058D" w:rsidRDefault="004517D4" w:rsidP="00C61221">
      <w:pPr>
        <w:spacing w:before="60" w:after="60"/>
        <w:ind w:firstLine="720"/>
        <w:jc w:val="both"/>
        <w:rPr>
          <w:bCs/>
          <w:sz w:val="28"/>
          <w:szCs w:val="28"/>
          <w:lang w:eastAsia="zh-CN"/>
        </w:rPr>
      </w:pPr>
      <w:r w:rsidRPr="00C61221">
        <w:rPr>
          <w:bCs/>
          <w:sz w:val="28"/>
          <w:szCs w:val="28"/>
          <w:lang w:eastAsia="zh-CN"/>
        </w:rPr>
        <w:t xml:space="preserve">- Nghị quyết số 134/NQ-CP ngày 25/9/2020 của Chính phủ ban hành Chương trình hành động của Chính phủ thực hiện Kết luận số 70-KL/TW ngày 09/3/2020 của Bộ Chính trị về tiếp tục thực hiện Nghị quyết Trung ương 5 khóa IX về tiếp tục đổi mới, phát </w:t>
      </w:r>
      <w:r w:rsidR="00BF058D">
        <w:rPr>
          <w:bCs/>
          <w:sz w:val="28"/>
          <w:szCs w:val="28"/>
          <w:lang w:eastAsia="zh-CN"/>
        </w:rPr>
        <w:t>triển và nâng cao hiệu quả KTTT.</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t>- Nghị định số 193/2013/NĐ-CP ngày 21/11/2013 của Chính phủ quy định chi tiết một số điều của Luật HTX năm 2012.</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t xml:space="preserve">- </w:t>
      </w:r>
      <w:r w:rsidRPr="00BF058D">
        <w:rPr>
          <w:bCs/>
          <w:spacing w:val="-2"/>
          <w:sz w:val="28"/>
          <w:szCs w:val="28"/>
          <w:lang w:eastAsia="zh-CN"/>
        </w:rPr>
        <w:t>Nghị định số 107/2017/NĐ-CP ngày 15/9/ 2017 của Chính phủ quy định sửa đổi, bổ sung một số điều của Nghị định số 193/2013/NĐ-CP ngày 21/11/2013 của Chính phủ quy định chi tiết một số điều của Luật HTX năm 2012.</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t>- Chỉ thị số 19/CT-TTg ngày 24/7/2015 của Thủ tướng Chính phủ về việc đẩy mạnh triển khai thi hành Luật HTX.</w:t>
      </w:r>
    </w:p>
    <w:p w:rsidR="004517D4" w:rsidRPr="00C61221" w:rsidRDefault="004517D4" w:rsidP="00C61221">
      <w:pPr>
        <w:spacing w:before="60" w:after="60"/>
        <w:ind w:firstLine="720"/>
        <w:jc w:val="both"/>
        <w:rPr>
          <w:bCs/>
          <w:sz w:val="28"/>
          <w:szCs w:val="28"/>
          <w:lang w:eastAsia="zh-CN"/>
        </w:rPr>
      </w:pPr>
      <w:r w:rsidRPr="00C61221">
        <w:rPr>
          <w:bCs/>
          <w:sz w:val="28"/>
          <w:szCs w:val="28"/>
          <w:lang w:eastAsia="zh-CN"/>
        </w:rPr>
        <w:lastRenderedPageBreak/>
        <w:t>- Chỉ thị số 12/CT-TTg ngày 22/5/2018 của Thủ tướng Chính phủ về việc tiếp tục tăng cường công tác triển khai thi hành Luật HTX năm 2012.</w:t>
      </w:r>
    </w:p>
    <w:p w:rsidR="004517D4" w:rsidRPr="00C61221" w:rsidRDefault="004517D4" w:rsidP="00BF058D">
      <w:pPr>
        <w:spacing w:before="60" w:after="240"/>
        <w:ind w:firstLine="720"/>
        <w:jc w:val="both"/>
        <w:rPr>
          <w:bCs/>
          <w:sz w:val="28"/>
          <w:szCs w:val="28"/>
          <w:lang w:eastAsia="zh-CN"/>
        </w:rPr>
      </w:pPr>
      <w:r w:rsidRPr="00C61221">
        <w:rPr>
          <w:bCs/>
          <w:sz w:val="28"/>
          <w:szCs w:val="28"/>
          <w:lang w:eastAsia="zh-CN"/>
        </w:rPr>
        <w:t>- Quyết định số 76/QĐ-BCĐĐMPTKTTTHTX ngày 02</w:t>
      </w:r>
      <w:r w:rsidR="00BF058D">
        <w:rPr>
          <w:bCs/>
          <w:sz w:val="28"/>
          <w:szCs w:val="28"/>
          <w:lang w:eastAsia="zh-CN"/>
        </w:rPr>
        <w:t>/</w:t>
      </w:r>
      <w:r w:rsidRPr="00C61221">
        <w:rPr>
          <w:bCs/>
          <w:sz w:val="28"/>
          <w:szCs w:val="28"/>
          <w:lang w:eastAsia="zh-CN"/>
        </w:rPr>
        <w:t>8</w:t>
      </w:r>
      <w:r w:rsidR="00BF058D">
        <w:rPr>
          <w:bCs/>
          <w:sz w:val="28"/>
          <w:szCs w:val="28"/>
          <w:lang w:eastAsia="zh-CN"/>
        </w:rPr>
        <w:t>/</w:t>
      </w:r>
      <w:r w:rsidRPr="00C61221">
        <w:rPr>
          <w:bCs/>
          <w:sz w:val="28"/>
          <w:szCs w:val="28"/>
          <w:lang w:eastAsia="zh-CN"/>
        </w:rPr>
        <w:t xml:space="preserve">2021 của Trưởng Ban Chỉ đạo đổi mới, phát triển </w:t>
      </w:r>
      <w:r w:rsidR="00BF058D">
        <w:rPr>
          <w:bCs/>
          <w:sz w:val="28"/>
          <w:szCs w:val="28"/>
          <w:lang w:eastAsia="zh-CN"/>
        </w:rPr>
        <w:t>KTTT</w:t>
      </w:r>
      <w:r w:rsidRPr="00C61221">
        <w:rPr>
          <w:bCs/>
          <w:sz w:val="28"/>
          <w:szCs w:val="28"/>
          <w:lang w:eastAsia="zh-CN"/>
        </w:rPr>
        <w:t xml:space="preserve">, </w:t>
      </w:r>
      <w:r w:rsidR="00BF058D">
        <w:rPr>
          <w:bCs/>
          <w:sz w:val="28"/>
          <w:szCs w:val="28"/>
          <w:lang w:eastAsia="zh-CN"/>
        </w:rPr>
        <w:t>HTX</w:t>
      </w:r>
      <w:r w:rsidRPr="00C61221">
        <w:rPr>
          <w:bCs/>
          <w:sz w:val="28"/>
          <w:szCs w:val="28"/>
          <w:lang w:eastAsia="zh-CN"/>
        </w:rPr>
        <w:t xml:space="preserve"> về việc ban hành Kế hoạch tổng kết 10 năm thi hành Luật </w:t>
      </w:r>
      <w:r w:rsidR="00BF058D">
        <w:rPr>
          <w:bCs/>
          <w:sz w:val="28"/>
          <w:szCs w:val="28"/>
          <w:lang w:eastAsia="zh-CN"/>
        </w:rPr>
        <w:t>HTX</w:t>
      </w:r>
      <w:r w:rsidRPr="00C61221">
        <w:rPr>
          <w:bCs/>
          <w:sz w:val="28"/>
          <w:szCs w:val="28"/>
          <w:lang w:eastAsia="zh-CN"/>
        </w:rPr>
        <w:t xml:space="preserve"> năm 2012.</w:t>
      </w:r>
    </w:p>
    <w:p w:rsidR="004517D4" w:rsidRPr="00C61221" w:rsidRDefault="004517D4" w:rsidP="00BF058D">
      <w:pPr>
        <w:ind w:firstLine="720"/>
        <w:jc w:val="center"/>
        <w:rPr>
          <w:sz w:val="28"/>
          <w:szCs w:val="28"/>
          <w:lang w:val="vi-VN" w:eastAsia="zh-CN"/>
        </w:rPr>
      </w:pPr>
      <w:r w:rsidRPr="00C61221">
        <w:rPr>
          <w:b/>
          <w:bCs/>
          <w:sz w:val="28"/>
          <w:szCs w:val="28"/>
          <w:lang w:val="vi-VN" w:eastAsia="zh-CN"/>
        </w:rPr>
        <w:t>Phần I</w:t>
      </w:r>
      <w:bookmarkEnd w:id="1"/>
    </w:p>
    <w:p w:rsidR="004517D4" w:rsidRPr="00C61221" w:rsidRDefault="004517D4" w:rsidP="00BF058D">
      <w:pPr>
        <w:ind w:firstLine="720"/>
        <w:jc w:val="center"/>
        <w:rPr>
          <w:b/>
          <w:bCs/>
          <w:sz w:val="28"/>
          <w:szCs w:val="28"/>
          <w:lang w:val="vi-VN" w:eastAsia="zh-CN"/>
        </w:rPr>
      </w:pPr>
      <w:bookmarkStart w:id="2" w:name="chuong_1_name"/>
      <w:r w:rsidRPr="00C61221">
        <w:rPr>
          <w:b/>
          <w:bCs/>
          <w:sz w:val="28"/>
          <w:szCs w:val="28"/>
          <w:lang w:val="vi-VN" w:eastAsia="zh-CN"/>
        </w:rPr>
        <w:t>BÁO CÁO VÀ ĐÁNH GIÁ TÌNH HÌNH TỔ CHỨC THI HÀNH LUẬT HỢP TÁC XÃ NĂM 2012</w:t>
      </w:r>
      <w:bookmarkEnd w:id="2"/>
    </w:p>
    <w:p w:rsidR="004517D4" w:rsidRPr="00C61221" w:rsidRDefault="004517D4" w:rsidP="00C61221">
      <w:pPr>
        <w:spacing w:before="60" w:after="60"/>
        <w:ind w:firstLine="720"/>
        <w:jc w:val="center"/>
        <w:rPr>
          <w:sz w:val="28"/>
          <w:szCs w:val="28"/>
          <w:lang w:val="vi-VN" w:eastAsia="zh-CN"/>
        </w:rPr>
      </w:pPr>
    </w:p>
    <w:p w:rsidR="004517D4" w:rsidRPr="00C61221" w:rsidRDefault="004517D4" w:rsidP="00C61221">
      <w:pPr>
        <w:adjustRightInd w:val="0"/>
        <w:snapToGrid w:val="0"/>
        <w:spacing w:before="60" w:after="60"/>
        <w:ind w:firstLine="720"/>
        <w:jc w:val="both"/>
        <w:rPr>
          <w:sz w:val="28"/>
          <w:szCs w:val="28"/>
          <w:lang w:val="vi-VN" w:eastAsia="zh-CN"/>
        </w:rPr>
      </w:pPr>
      <w:bookmarkStart w:id="3" w:name="muc_1"/>
      <w:r w:rsidRPr="00C61221">
        <w:rPr>
          <w:b/>
          <w:bCs/>
          <w:sz w:val="28"/>
          <w:szCs w:val="28"/>
          <w:lang w:val="vi-VN" w:eastAsia="zh-CN"/>
        </w:rPr>
        <w:t>I. CÔNG TÁC TỔ CHỨC THI HÀNH LUẬT HTX</w:t>
      </w:r>
      <w:bookmarkEnd w:id="3"/>
    </w:p>
    <w:p w:rsidR="004517D4" w:rsidRPr="00C61221" w:rsidRDefault="004517D4" w:rsidP="00C61221">
      <w:pPr>
        <w:adjustRightInd w:val="0"/>
        <w:snapToGrid w:val="0"/>
        <w:spacing w:before="60" w:after="60"/>
        <w:ind w:firstLine="720"/>
        <w:jc w:val="both"/>
        <w:rPr>
          <w:b/>
          <w:bCs/>
          <w:sz w:val="28"/>
          <w:szCs w:val="28"/>
          <w:lang w:eastAsia="zh-CN"/>
        </w:rPr>
      </w:pPr>
      <w:r w:rsidRPr="00C61221">
        <w:rPr>
          <w:b/>
          <w:bCs/>
          <w:sz w:val="28"/>
          <w:szCs w:val="28"/>
          <w:lang w:val="vi-VN" w:eastAsia="zh-CN"/>
        </w:rPr>
        <w:t>1.</w:t>
      </w:r>
      <w:r w:rsidRPr="00C61221">
        <w:rPr>
          <w:b/>
          <w:bCs/>
          <w:sz w:val="28"/>
          <w:szCs w:val="28"/>
          <w:lang w:eastAsia="zh-CN"/>
        </w:rPr>
        <w:t xml:space="preserve"> Công tác xây dựng, ban hành, tuyên truyền, phổ biến các văn bản hướng dẫn thi hành Luật HTX</w:t>
      </w:r>
    </w:p>
    <w:p w:rsidR="004517D4" w:rsidRPr="00C61221" w:rsidRDefault="004517D4" w:rsidP="00C61221">
      <w:pPr>
        <w:adjustRightInd w:val="0"/>
        <w:snapToGrid w:val="0"/>
        <w:spacing w:before="60" w:after="60"/>
        <w:ind w:firstLine="720"/>
        <w:jc w:val="both"/>
        <w:rPr>
          <w:i/>
          <w:sz w:val="28"/>
          <w:szCs w:val="28"/>
          <w:lang w:eastAsia="zh-CN"/>
        </w:rPr>
      </w:pPr>
      <w:r w:rsidRPr="00C61221">
        <w:rPr>
          <w:bCs/>
          <w:i/>
          <w:sz w:val="28"/>
          <w:szCs w:val="28"/>
          <w:lang w:eastAsia="zh-CN"/>
        </w:rPr>
        <w:t>1.1. Công tác lãnh chỉ đạo thi</w:t>
      </w:r>
      <w:r w:rsidRPr="00C61221">
        <w:rPr>
          <w:bCs/>
          <w:i/>
          <w:sz w:val="28"/>
          <w:szCs w:val="28"/>
          <w:lang w:val="vi-VN" w:eastAsia="zh-CN"/>
        </w:rPr>
        <w:t xml:space="preserve"> hành Luật </w:t>
      </w:r>
      <w:r w:rsidR="00884121">
        <w:rPr>
          <w:bCs/>
          <w:i/>
          <w:sz w:val="28"/>
          <w:szCs w:val="28"/>
          <w:lang w:eastAsia="zh-CN"/>
        </w:rPr>
        <w:t>HTX 2012</w:t>
      </w:r>
    </w:p>
    <w:p w:rsidR="004517D4" w:rsidRPr="00C61221" w:rsidRDefault="004517D4" w:rsidP="00015662">
      <w:pPr>
        <w:tabs>
          <w:tab w:val="left" w:pos="0"/>
        </w:tabs>
        <w:spacing w:before="60" w:after="60"/>
        <w:ind w:firstLine="720"/>
        <w:jc w:val="both"/>
        <w:rPr>
          <w:sz w:val="28"/>
          <w:szCs w:val="28"/>
          <w:lang w:eastAsia="zh-CN"/>
        </w:rPr>
      </w:pPr>
      <w:r w:rsidRPr="00C61221">
        <w:rPr>
          <w:sz w:val="28"/>
          <w:szCs w:val="28"/>
          <w:lang w:eastAsia="zh-CN"/>
        </w:rPr>
        <w:t>Thực hiện Kết luận số 56-KL/TW ngày 21</w:t>
      </w:r>
      <w:r w:rsidR="00884121">
        <w:rPr>
          <w:sz w:val="28"/>
          <w:szCs w:val="28"/>
          <w:lang w:eastAsia="zh-CN"/>
        </w:rPr>
        <w:t>/</w:t>
      </w:r>
      <w:r w:rsidRPr="00C61221">
        <w:rPr>
          <w:sz w:val="28"/>
          <w:szCs w:val="28"/>
          <w:lang w:eastAsia="zh-CN"/>
        </w:rPr>
        <w:t>02</w:t>
      </w:r>
      <w:r w:rsidR="00884121">
        <w:rPr>
          <w:sz w:val="28"/>
          <w:szCs w:val="28"/>
          <w:lang w:eastAsia="zh-CN"/>
        </w:rPr>
        <w:t>/</w:t>
      </w:r>
      <w:r w:rsidRPr="00C61221">
        <w:rPr>
          <w:sz w:val="28"/>
          <w:szCs w:val="28"/>
          <w:lang w:eastAsia="zh-CN"/>
        </w:rPr>
        <w:t xml:space="preserve">2013 của Bộ Chính trị về đẩy mạnh thực hiện Nghị quyết của Trung ương 5 khóa IX về tiếp tục đổi mới, phát triển và nâng cao hiệu quả </w:t>
      </w:r>
      <w:r w:rsidR="00884121">
        <w:rPr>
          <w:sz w:val="28"/>
          <w:szCs w:val="28"/>
          <w:lang w:eastAsia="zh-CN"/>
        </w:rPr>
        <w:t>KTTT</w:t>
      </w:r>
      <w:r w:rsidRPr="00C61221">
        <w:rPr>
          <w:sz w:val="28"/>
          <w:szCs w:val="28"/>
          <w:lang w:eastAsia="zh-CN"/>
        </w:rPr>
        <w:t xml:space="preserve">, Ban Thường vụ Tỉnh </w:t>
      </w:r>
      <w:r w:rsidR="00015662">
        <w:rPr>
          <w:sz w:val="28"/>
          <w:szCs w:val="28"/>
          <w:lang w:eastAsia="zh-CN"/>
        </w:rPr>
        <w:t>uỷ</w:t>
      </w:r>
      <w:r w:rsidRPr="00C61221">
        <w:rPr>
          <w:sz w:val="28"/>
          <w:szCs w:val="28"/>
          <w:lang w:eastAsia="zh-CN"/>
        </w:rPr>
        <w:t xml:space="preserve"> Đồng Tháp đã ban hành Kế hoạch số 66-KH/TU ngày 04</w:t>
      </w:r>
      <w:r w:rsidR="00884121">
        <w:rPr>
          <w:sz w:val="28"/>
          <w:szCs w:val="28"/>
          <w:lang w:eastAsia="zh-CN"/>
        </w:rPr>
        <w:t>/</w:t>
      </w:r>
      <w:r w:rsidRPr="00C61221">
        <w:rPr>
          <w:sz w:val="28"/>
          <w:szCs w:val="28"/>
          <w:lang w:eastAsia="zh-CN"/>
        </w:rPr>
        <w:t>6</w:t>
      </w:r>
      <w:r w:rsidR="00884121">
        <w:rPr>
          <w:sz w:val="28"/>
          <w:szCs w:val="28"/>
          <w:lang w:eastAsia="zh-CN"/>
        </w:rPr>
        <w:t>/</w:t>
      </w:r>
      <w:r w:rsidRPr="00C61221">
        <w:rPr>
          <w:sz w:val="28"/>
          <w:szCs w:val="28"/>
          <w:lang w:eastAsia="zh-CN"/>
        </w:rPr>
        <w:t xml:space="preserve">2013 về thực hiện Kết luận 56-KL/TW và Kế hoạch số 13-KH/TU </w:t>
      </w:r>
      <w:r w:rsidR="00884121" w:rsidRPr="00884121">
        <w:rPr>
          <w:sz w:val="28"/>
          <w:szCs w:val="28"/>
          <w:lang w:eastAsia="zh-CN"/>
        </w:rPr>
        <w:t>ngày 23/5/2016</w:t>
      </w:r>
      <w:r w:rsidR="00884121">
        <w:rPr>
          <w:sz w:val="28"/>
          <w:szCs w:val="28"/>
          <w:lang w:eastAsia="zh-CN"/>
        </w:rPr>
        <w:t xml:space="preserve"> </w:t>
      </w:r>
      <w:r w:rsidRPr="00C61221">
        <w:rPr>
          <w:sz w:val="28"/>
          <w:szCs w:val="28"/>
          <w:lang w:eastAsia="zh-CN"/>
        </w:rPr>
        <w:t>về tiếp tục thực hiện Kết luận 56-KL/TW.</w:t>
      </w:r>
      <w:r w:rsidR="00015662">
        <w:rPr>
          <w:sz w:val="28"/>
          <w:szCs w:val="28"/>
          <w:lang w:eastAsia="zh-CN"/>
        </w:rPr>
        <w:t xml:space="preserve"> Trong đó, </w:t>
      </w:r>
      <w:r w:rsidRPr="00C61221">
        <w:rPr>
          <w:sz w:val="28"/>
          <w:szCs w:val="28"/>
          <w:lang w:eastAsia="zh-CN"/>
        </w:rPr>
        <w:t xml:space="preserve">yêu cầu các cấp </w:t>
      </w:r>
      <w:r w:rsidR="00015662">
        <w:rPr>
          <w:sz w:val="28"/>
          <w:szCs w:val="28"/>
          <w:lang w:eastAsia="zh-CN"/>
        </w:rPr>
        <w:t>uỷ</w:t>
      </w:r>
      <w:r w:rsidRPr="00C61221">
        <w:rPr>
          <w:sz w:val="28"/>
          <w:szCs w:val="28"/>
          <w:lang w:eastAsia="zh-CN"/>
        </w:rPr>
        <w:t xml:space="preserve"> đảng, chính quyền tập trung chỉ đạo phát triển </w:t>
      </w:r>
      <w:r w:rsidR="00884121">
        <w:rPr>
          <w:sz w:val="28"/>
          <w:szCs w:val="28"/>
          <w:lang w:eastAsia="zh-CN"/>
        </w:rPr>
        <w:t>KTTT</w:t>
      </w:r>
      <w:r w:rsidRPr="00C61221">
        <w:rPr>
          <w:sz w:val="28"/>
          <w:szCs w:val="28"/>
          <w:lang w:eastAsia="zh-CN"/>
        </w:rPr>
        <w:t xml:space="preserve">, phải nhận thức đúng và thống nhất về vai trò, tầm quan trọng của </w:t>
      </w:r>
      <w:r w:rsidR="00884121">
        <w:rPr>
          <w:sz w:val="28"/>
          <w:szCs w:val="28"/>
          <w:lang w:eastAsia="zh-CN"/>
        </w:rPr>
        <w:t xml:space="preserve">KTTT </w:t>
      </w:r>
      <w:r w:rsidRPr="00C61221">
        <w:rPr>
          <w:sz w:val="28"/>
          <w:szCs w:val="28"/>
          <w:lang w:eastAsia="zh-CN"/>
        </w:rPr>
        <w:t xml:space="preserve">để công tác tuyên truyền được nhất quán nhằm tạo sự lan tỏa trong toàn đảng bộ và nhân dân. Phát triển </w:t>
      </w:r>
      <w:r w:rsidR="00884121">
        <w:rPr>
          <w:sz w:val="28"/>
          <w:szCs w:val="28"/>
          <w:lang w:eastAsia="zh-CN"/>
        </w:rPr>
        <w:t>KTTT</w:t>
      </w:r>
      <w:r w:rsidRPr="00C61221">
        <w:rPr>
          <w:sz w:val="28"/>
          <w:szCs w:val="28"/>
          <w:lang w:eastAsia="zh-CN"/>
        </w:rPr>
        <w:t xml:space="preserve"> phải gắn với chương trình xây dựng nông thôn mới, Đề án tái cơ cấu ngành nông nghiệp và các chương trình phát triển kinh tế</w:t>
      </w:r>
      <w:r w:rsidR="00015662">
        <w:rPr>
          <w:sz w:val="28"/>
          <w:szCs w:val="28"/>
          <w:lang w:eastAsia="zh-CN"/>
        </w:rPr>
        <w:t xml:space="preserve"> </w:t>
      </w:r>
      <w:r w:rsidRPr="00C61221">
        <w:rPr>
          <w:sz w:val="28"/>
          <w:szCs w:val="28"/>
          <w:lang w:eastAsia="zh-CN"/>
        </w:rPr>
        <w:t xml:space="preserve">- xã hội của Tỉnh. </w:t>
      </w:r>
    </w:p>
    <w:p w:rsidR="004517D4" w:rsidRPr="00C61221" w:rsidRDefault="00015662" w:rsidP="00015662">
      <w:pPr>
        <w:tabs>
          <w:tab w:val="left" w:pos="0"/>
        </w:tabs>
        <w:spacing w:before="60" w:after="60"/>
        <w:ind w:firstLine="720"/>
        <w:jc w:val="both"/>
        <w:rPr>
          <w:sz w:val="28"/>
          <w:szCs w:val="28"/>
          <w:lang w:eastAsia="zh-CN"/>
        </w:rPr>
      </w:pPr>
      <w:r>
        <w:rPr>
          <w:sz w:val="28"/>
          <w:szCs w:val="28"/>
          <w:lang w:eastAsia="zh-CN"/>
        </w:rPr>
        <w:t>Kết quả, c</w:t>
      </w:r>
      <w:r w:rsidR="004517D4" w:rsidRPr="00C61221">
        <w:rPr>
          <w:sz w:val="28"/>
          <w:szCs w:val="28"/>
          <w:lang w:eastAsia="zh-CN"/>
        </w:rPr>
        <w:t xml:space="preserve">ấp </w:t>
      </w:r>
      <w:r>
        <w:rPr>
          <w:sz w:val="28"/>
          <w:szCs w:val="28"/>
          <w:lang w:eastAsia="zh-CN"/>
        </w:rPr>
        <w:t>uỷ</w:t>
      </w:r>
      <w:r w:rsidR="004517D4" w:rsidRPr="00C61221">
        <w:rPr>
          <w:sz w:val="28"/>
          <w:szCs w:val="28"/>
          <w:lang w:eastAsia="zh-CN"/>
        </w:rPr>
        <w:t xml:space="preserve"> đảng, chính quyền và đoàn thể đã kịp thời quán triệt cho cán bộ, đảng viên và nhân dân nâng cao nhận thức về vai trò, vị trí quan trọng của kinh tế tập thể trong phát triển kinh tế - xã hội, kiện toàn và nâng cao năng lực của cán bộ đầu mối về </w:t>
      </w:r>
      <w:r>
        <w:rPr>
          <w:sz w:val="28"/>
          <w:szCs w:val="28"/>
          <w:lang w:eastAsia="zh-CN"/>
        </w:rPr>
        <w:t>KTTT</w:t>
      </w:r>
      <w:r w:rsidR="004517D4" w:rsidRPr="00C61221">
        <w:rPr>
          <w:sz w:val="28"/>
          <w:szCs w:val="28"/>
          <w:lang w:eastAsia="zh-CN"/>
        </w:rPr>
        <w:t xml:space="preserve">, phổ biến thông tin về </w:t>
      </w:r>
      <w:r>
        <w:rPr>
          <w:sz w:val="28"/>
          <w:szCs w:val="28"/>
          <w:lang w:eastAsia="zh-CN"/>
        </w:rPr>
        <w:t>KTTT</w:t>
      </w:r>
      <w:r w:rsidR="004517D4" w:rsidRPr="00C61221">
        <w:rPr>
          <w:sz w:val="28"/>
          <w:szCs w:val="28"/>
          <w:lang w:eastAsia="zh-CN"/>
        </w:rPr>
        <w:t xml:space="preserve">, Luật </w:t>
      </w:r>
      <w:r>
        <w:rPr>
          <w:sz w:val="28"/>
          <w:szCs w:val="28"/>
          <w:lang w:eastAsia="zh-CN"/>
        </w:rPr>
        <w:t>HTX</w:t>
      </w:r>
      <w:r w:rsidR="004517D4" w:rsidRPr="00C61221">
        <w:rPr>
          <w:sz w:val="28"/>
          <w:szCs w:val="28"/>
          <w:lang w:eastAsia="zh-CN"/>
        </w:rPr>
        <w:t xml:space="preserve"> năm 2012 và các văn bản pháp luật liên quan về phát triển </w:t>
      </w:r>
      <w:r>
        <w:rPr>
          <w:sz w:val="28"/>
          <w:szCs w:val="28"/>
          <w:lang w:eastAsia="zh-CN"/>
        </w:rPr>
        <w:t>KTTT</w:t>
      </w:r>
      <w:r w:rsidR="004517D4" w:rsidRPr="00C61221">
        <w:rPr>
          <w:sz w:val="28"/>
          <w:szCs w:val="28"/>
          <w:lang w:eastAsia="zh-CN"/>
        </w:rPr>
        <w:t xml:space="preserve">, thông qua tổ chức các buổi tuyên truyền riêng hoặc lồng ghép, các lớp tập huấn, đào tạo, bồi dưỡng về </w:t>
      </w:r>
      <w:r>
        <w:rPr>
          <w:sz w:val="28"/>
          <w:szCs w:val="28"/>
          <w:lang w:eastAsia="zh-CN"/>
        </w:rPr>
        <w:t>KTTT</w:t>
      </w:r>
      <w:r w:rsidR="004517D4" w:rsidRPr="00C61221">
        <w:rPr>
          <w:sz w:val="28"/>
          <w:szCs w:val="28"/>
          <w:lang w:eastAsia="zh-CN"/>
        </w:rPr>
        <w:t xml:space="preserve"> cho cá nhân, thành viên và cán bộ quản lý </w:t>
      </w:r>
      <w:r>
        <w:rPr>
          <w:sz w:val="28"/>
          <w:szCs w:val="28"/>
          <w:lang w:eastAsia="zh-CN"/>
        </w:rPr>
        <w:t>HTX</w:t>
      </w:r>
      <w:r w:rsidR="004517D4" w:rsidRPr="00C61221">
        <w:rPr>
          <w:sz w:val="28"/>
          <w:szCs w:val="28"/>
          <w:lang w:eastAsia="zh-CN"/>
        </w:rPr>
        <w:t>.</w:t>
      </w:r>
    </w:p>
    <w:p w:rsidR="004517D4" w:rsidRPr="00C61221" w:rsidRDefault="004517D4" w:rsidP="00C61221">
      <w:pPr>
        <w:spacing w:before="60" w:after="60"/>
        <w:ind w:firstLine="540"/>
        <w:jc w:val="both"/>
        <w:rPr>
          <w:rFonts w:eastAsia="Calibri"/>
          <w:bCs/>
          <w:sz w:val="28"/>
          <w:szCs w:val="28"/>
          <w:lang w:eastAsia="zh-CN"/>
        </w:rPr>
      </w:pPr>
      <w:r w:rsidRPr="00C61221">
        <w:rPr>
          <w:sz w:val="28"/>
          <w:szCs w:val="28"/>
          <w:lang w:eastAsia="zh-CN"/>
        </w:rPr>
        <w:tab/>
      </w:r>
      <w:r w:rsidR="00EE6795">
        <w:rPr>
          <w:sz w:val="28"/>
          <w:szCs w:val="28"/>
          <w:lang w:eastAsia="zh-CN"/>
        </w:rPr>
        <w:t xml:space="preserve">Bên cạnh đó, </w:t>
      </w:r>
      <w:r w:rsidRPr="00C61221">
        <w:rPr>
          <w:sz w:val="28"/>
          <w:szCs w:val="28"/>
          <w:lang w:val="sv-SE" w:eastAsia="zh-CN"/>
        </w:rPr>
        <w:t xml:space="preserve">Uỷ ban nhân dân </w:t>
      </w:r>
      <w:r w:rsidR="00EE6795">
        <w:rPr>
          <w:sz w:val="28"/>
          <w:szCs w:val="28"/>
          <w:lang w:val="sv-SE" w:eastAsia="zh-CN"/>
        </w:rPr>
        <w:t xml:space="preserve">(UBND) </w:t>
      </w:r>
      <w:r w:rsidRPr="00C61221">
        <w:rPr>
          <w:sz w:val="28"/>
          <w:szCs w:val="28"/>
          <w:lang w:val="sv-SE" w:eastAsia="zh-CN"/>
        </w:rPr>
        <w:t xml:space="preserve">tỉnh Đồng Tháp đã ban hành các Kế hoạch như Kế hoạch chuyển đổi các HTX hoạt động theo Luật </w:t>
      </w:r>
      <w:r w:rsidR="00EE6795">
        <w:rPr>
          <w:sz w:val="28"/>
          <w:szCs w:val="28"/>
          <w:lang w:val="sv-SE" w:eastAsia="zh-CN"/>
        </w:rPr>
        <w:t>HTX</w:t>
      </w:r>
      <w:r w:rsidRPr="00C61221">
        <w:rPr>
          <w:sz w:val="28"/>
          <w:szCs w:val="28"/>
          <w:lang w:val="sv-SE" w:eastAsia="zh-CN"/>
        </w:rPr>
        <w:t xml:space="preserve"> năm 2012, Kế hoạch phát triển các HTX, tổ hợp tác tiên tiến gắn với vùng chuyên canh, xây dựng thương hiệu nông sản; Kế hoạch Củng cố và nâng cao chất lượng KTTT giai đoạn 2015</w:t>
      </w:r>
      <w:r w:rsidR="00EE6795">
        <w:rPr>
          <w:sz w:val="28"/>
          <w:szCs w:val="28"/>
          <w:lang w:val="sv-SE" w:eastAsia="zh-CN"/>
        </w:rPr>
        <w:t xml:space="preserve"> </w:t>
      </w:r>
      <w:r w:rsidRPr="00C61221">
        <w:rPr>
          <w:sz w:val="28"/>
          <w:szCs w:val="28"/>
          <w:lang w:val="sv-SE" w:eastAsia="zh-CN"/>
        </w:rPr>
        <w:t>-</w:t>
      </w:r>
      <w:r w:rsidR="00EE6795">
        <w:rPr>
          <w:sz w:val="28"/>
          <w:szCs w:val="28"/>
          <w:lang w:val="sv-SE" w:eastAsia="zh-CN"/>
        </w:rPr>
        <w:t xml:space="preserve"> </w:t>
      </w:r>
      <w:r w:rsidRPr="00C61221">
        <w:rPr>
          <w:sz w:val="28"/>
          <w:szCs w:val="28"/>
          <w:lang w:val="sv-SE" w:eastAsia="zh-CN"/>
        </w:rPr>
        <w:t xml:space="preserve">2020; Kế hoạch phát triển </w:t>
      </w:r>
      <w:r w:rsidR="00EE6795">
        <w:rPr>
          <w:sz w:val="28"/>
          <w:szCs w:val="28"/>
          <w:lang w:eastAsia="zh-CN"/>
        </w:rPr>
        <w:t>KTTT</w:t>
      </w:r>
      <w:r w:rsidRPr="00C61221">
        <w:rPr>
          <w:sz w:val="28"/>
          <w:szCs w:val="28"/>
          <w:lang w:val="sv-SE" w:eastAsia="zh-CN"/>
        </w:rPr>
        <w:t xml:space="preserve"> </w:t>
      </w:r>
      <w:r w:rsidRPr="00C61221">
        <w:rPr>
          <w:rFonts w:eastAsia="Calibri"/>
          <w:bCs/>
          <w:sz w:val="28"/>
          <w:szCs w:val="28"/>
          <w:lang w:eastAsia="zh-CN"/>
        </w:rPr>
        <w:t xml:space="preserve">5 năm 2016 </w:t>
      </w:r>
      <w:r w:rsidR="00EE6795">
        <w:rPr>
          <w:rFonts w:eastAsia="Calibri"/>
          <w:bCs/>
          <w:sz w:val="28"/>
          <w:szCs w:val="28"/>
          <w:lang w:eastAsia="zh-CN"/>
        </w:rPr>
        <w:t xml:space="preserve">- </w:t>
      </w:r>
      <w:r w:rsidRPr="00C61221">
        <w:rPr>
          <w:rFonts w:eastAsia="Calibri"/>
          <w:bCs/>
          <w:sz w:val="28"/>
          <w:szCs w:val="28"/>
          <w:lang w:eastAsia="zh-CN"/>
        </w:rPr>
        <w:t xml:space="preserve">2020 và </w:t>
      </w:r>
      <w:r w:rsidRPr="00C61221">
        <w:rPr>
          <w:sz w:val="28"/>
          <w:szCs w:val="28"/>
          <w:lang w:val="sv-SE" w:eastAsia="zh-CN"/>
        </w:rPr>
        <w:t>Kế hoạch phát triển kinh tế hàng năm theo hướng dẫn của Bộ Kế hoạch và Đầu tư.</w:t>
      </w:r>
    </w:p>
    <w:p w:rsidR="004517D4" w:rsidRPr="00C61221" w:rsidRDefault="004517D4" w:rsidP="00C61221">
      <w:pPr>
        <w:tabs>
          <w:tab w:val="left" w:pos="0"/>
          <w:tab w:val="left" w:pos="567"/>
          <w:tab w:val="left" w:pos="851"/>
        </w:tabs>
        <w:spacing w:before="60" w:after="60"/>
        <w:ind w:firstLine="720"/>
        <w:jc w:val="both"/>
        <w:rPr>
          <w:i/>
          <w:sz w:val="28"/>
          <w:szCs w:val="28"/>
          <w:lang w:eastAsia="zh-CN"/>
        </w:rPr>
      </w:pPr>
      <w:r w:rsidRPr="00C61221">
        <w:rPr>
          <w:i/>
          <w:sz w:val="28"/>
          <w:szCs w:val="28"/>
          <w:lang w:eastAsia="zh-CN"/>
        </w:rPr>
        <w:t>1.2.</w:t>
      </w:r>
      <w:r w:rsidRPr="00C61221">
        <w:rPr>
          <w:i/>
          <w:sz w:val="28"/>
          <w:szCs w:val="28"/>
          <w:lang w:val="vi-VN" w:eastAsia="zh-CN"/>
        </w:rPr>
        <w:t xml:space="preserve"> </w:t>
      </w:r>
      <w:r w:rsidRPr="00C61221">
        <w:rPr>
          <w:i/>
          <w:sz w:val="28"/>
          <w:szCs w:val="28"/>
          <w:lang w:eastAsia="zh-CN"/>
        </w:rPr>
        <w:t>C</w:t>
      </w:r>
      <w:r w:rsidRPr="00C61221">
        <w:rPr>
          <w:i/>
          <w:sz w:val="28"/>
          <w:szCs w:val="28"/>
          <w:lang w:val="vi-VN" w:eastAsia="zh-CN"/>
        </w:rPr>
        <w:t xml:space="preserve">ông tác tuyên truyền, phổ biến </w:t>
      </w:r>
      <w:r w:rsidR="00EE6795">
        <w:rPr>
          <w:i/>
          <w:sz w:val="28"/>
          <w:szCs w:val="28"/>
          <w:lang w:val="vi-VN" w:eastAsia="zh-CN"/>
        </w:rPr>
        <w:t xml:space="preserve">pháp luật về </w:t>
      </w:r>
      <w:r w:rsidRPr="00C61221">
        <w:rPr>
          <w:i/>
          <w:sz w:val="28"/>
          <w:szCs w:val="28"/>
          <w:lang w:val="vi-VN" w:eastAsia="zh-CN"/>
        </w:rPr>
        <w:t>HTX</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eastAsia="zh-CN"/>
        </w:rPr>
        <w:tab/>
      </w:r>
      <w:r w:rsidRPr="00C61221">
        <w:rPr>
          <w:sz w:val="28"/>
          <w:szCs w:val="28"/>
          <w:lang w:val="vi-VN" w:eastAsia="zh-CN"/>
        </w:rPr>
        <w:t xml:space="preserve">Để triển khai thực hiện Luật </w:t>
      </w:r>
      <w:r w:rsidR="00EE6795">
        <w:rPr>
          <w:sz w:val="28"/>
          <w:szCs w:val="28"/>
          <w:lang w:eastAsia="zh-CN"/>
        </w:rPr>
        <w:t>HTX</w:t>
      </w:r>
      <w:r w:rsidRPr="00C61221">
        <w:rPr>
          <w:sz w:val="28"/>
          <w:szCs w:val="28"/>
          <w:lang w:val="vi-VN" w:eastAsia="zh-CN"/>
        </w:rPr>
        <w:t xml:space="preserve"> năm 2012, Nghị định 193/2013/NĐ-</w:t>
      </w:r>
      <w:r w:rsidR="00EE6795">
        <w:rPr>
          <w:sz w:val="28"/>
          <w:szCs w:val="28"/>
          <w:lang w:val="vi-VN" w:eastAsia="zh-CN"/>
        </w:rPr>
        <w:t xml:space="preserve">CP ngày 21/11/2013 của Chính phủ, </w:t>
      </w:r>
      <w:r w:rsidR="00EE6795">
        <w:rPr>
          <w:sz w:val="28"/>
          <w:szCs w:val="28"/>
          <w:lang w:eastAsia="zh-CN"/>
        </w:rPr>
        <w:t>UBND Tỉnh</w:t>
      </w:r>
      <w:r w:rsidRPr="00C61221">
        <w:rPr>
          <w:sz w:val="28"/>
          <w:szCs w:val="28"/>
          <w:lang w:val="vi-VN" w:eastAsia="zh-CN"/>
        </w:rPr>
        <w:t xml:space="preserve"> đã ban hành Kế hoạch số 99/KH-UBND ngày 15/07/2014 về chuyển đổi các HTX hoạt động theo Luật </w:t>
      </w:r>
      <w:r w:rsidR="00EE6795">
        <w:rPr>
          <w:sz w:val="28"/>
          <w:szCs w:val="28"/>
          <w:lang w:eastAsia="zh-CN"/>
        </w:rPr>
        <w:t>HTX</w:t>
      </w:r>
      <w:r w:rsidRPr="00C61221">
        <w:rPr>
          <w:sz w:val="28"/>
          <w:szCs w:val="28"/>
          <w:lang w:val="vi-VN" w:eastAsia="zh-CN"/>
        </w:rPr>
        <w:t xml:space="preserve"> năm 2012, lựa chọn thí điểm một số HTX nông nghiệp </w:t>
      </w:r>
      <w:r w:rsidR="00EE6795">
        <w:rPr>
          <w:sz w:val="28"/>
          <w:szCs w:val="28"/>
          <w:lang w:eastAsia="zh-CN"/>
        </w:rPr>
        <w:t xml:space="preserve">(HTXNN) </w:t>
      </w:r>
      <w:r w:rsidRPr="00C61221">
        <w:rPr>
          <w:sz w:val="28"/>
          <w:szCs w:val="28"/>
          <w:lang w:val="vi-VN" w:eastAsia="zh-CN"/>
        </w:rPr>
        <w:t xml:space="preserve">gắn với vùng chuyên canh, xây dựng thương hiệu phục vụ Đề án </w:t>
      </w:r>
      <w:r w:rsidR="00EE6795">
        <w:rPr>
          <w:sz w:val="28"/>
          <w:szCs w:val="28"/>
          <w:lang w:eastAsia="zh-CN"/>
        </w:rPr>
        <w:t>TCCNN</w:t>
      </w:r>
      <w:r w:rsidRPr="00C61221">
        <w:rPr>
          <w:sz w:val="28"/>
          <w:szCs w:val="28"/>
          <w:lang w:val="vi-VN" w:eastAsia="zh-CN"/>
        </w:rPr>
        <w:t xml:space="preserve">, tiến hành tổ </w:t>
      </w:r>
      <w:r w:rsidRPr="00C61221">
        <w:rPr>
          <w:sz w:val="28"/>
          <w:szCs w:val="28"/>
          <w:lang w:val="vi-VN" w:eastAsia="zh-CN"/>
        </w:rPr>
        <w:lastRenderedPageBreak/>
        <w:t xml:space="preserve">chức chuyển đổi, sau đó tiếp tục triển khai hoạt động chuyển đổi toàn Tỉnh nhằm mục tiêu đến 30/06/2016 hoàn tất chuyển đổi tất cả các </w:t>
      </w:r>
      <w:r w:rsidR="00EE6795">
        <w:rPr>
          <w:sz w:val="28"/>
          <w:szCs w:val="28"/>
          <w:lang w:eastAsia="zh-CN"/>
        </w:rPr>
        <w:t>HTX</w:t>
      </w:r>
      <w:r w:rsidRPr="00C61221">
        <w:rPr>
          <w:sz w:val="28"/>
          <w:szCs w:val="28"/>
          <w:lang w:val="vi-VN" w:eastAsia="zh-CN"/>
        </w:rPr>
        <w:t xml:space="preserve"> hoạt động theo đúng nguyên tắc, bản chất Luật </w:t>
      </w:r>
      <w:r w:rsidR="00EE6795">
        <w:rPr>
          <w:sz w:val="28"/>
          <w:szCs w:val="28"/>
          <w:lang w:eastAsia="zh-CN"/>
        </w:rPr>
        <w:t>HTX</w:t>
      </w:r>
      <w:r w:rsidRPr="00C61221">
        <w:rPr>
          <w:sz w:val="28"/>
          <w:szCs w:val="28"/>
          <w:lang w:val="vi-VN" w:eastAsia="zh-CN"/>
        </w:rPr>
        <w:t xml:space="preserve"> năm 2012</w:t>
      </w:r>
      <w:r w:rsidR="00E47C44">
        <w:rPr>
          <w:sz w:val="28"/>
          <w:szCs w:val="28"/>
          <w:lang w:eastAsia="zh-CN"/>
        </w:rPr>
        <w:t>; đ</w:t>
      </w:r>
      <w:r w:rsidR="0095714B">
        <w:rPr>
          <w:sz w:val="28"/>
          <w:szCs w:val="28"/>
          <w:lang w:eastAsia="zh-CN"/>
        </w:rPr>
        <w:t>ồng thời, g</w:t>
      </w:r>
      <w:r w:rsidRPr="00C61221">
        <w:rPr>
          <w:sz w:val="28"/>
          <w:szCs w:val="28"/>
          <w:lang w:val="vi-VN" w:eastAsia="zh-CN"/>
        </w:rPr>
        <w:t xml:space="preserve">iao Sở Kế hoạch và Đầu tư chủ trì, tổ chức Hội nghị triển khai Luật </w:t>
      </w:r>
      <w:r w:rsidR="0095714B">
        <w:rPr>
          <w:sz w:val="28"/>
          <w:szCs w:val="28"/>
          <w:lang w:eastAsia="zh-CN"/>
        </w:rPr>
        <w:t>HTX</w:t>
      </w:r>
      <w:r w:rsidRPr="00C61221">
        <w:rPr>
          <w:sz w:val="28"/>
          <w:szCs w:val="28"/>
          <w:lang w:val="vi-VN" w:eastAsia="zh-CN"/>
        </w:rPr>
        <w:t xml:space="preserve"> 2012, Nghị định số 193/2013/NĐ-CP, Thông tư số 03/2014/TT-BKHĐT ngày 26/05/2014  với sự tham dự  hơn 70 đại diện từ các Sở, ngành, đoàn thể có liên quan, </w:t>
      </w:r>
      <w:r w:rsidR="0095714B">
        <w:rPr>
          <w:sz w:val="28"/>
          <w:szCs w:val="28"/>
          <w:lang w:eastAsia="zh-CN"/>
        </w:rPr>
        <w:t>UBND</w:t>
      </w:r>
      <w:r w:rsidRPr="00C61221">
        <w:rPr>
          <w:sz w:val="28"/>
          <w:szCs w:val="28"/>
          <w:lang w:val="vi-VN" w:eastAsia="zh-CN"/>
        </w:rPr>
        <w:t xml:space="preserve"> cấp huyện và hơn 100 HTX.</w:t>
      </w:r>
    </w:p>
    <w:p w:rsidR="004517D4" w:rsidRPr="00C61221" w:rsidRDefault="004517D4" w:rsidP="00C61221">
      <w:pPr>
        <w:tabs>
          <w:tab w:val="left" w:pos="0"/>
          <w:tab w:val="left" w:pos="567"/>
          <w:tab w:val="left" w:pos="851"/>
        </w:tabs>
        <w:spacing w:before="60" w:after="60"/>
        <w:ind w:firstLine="720"/>
        <w:jc w:val="both"/>
        <w:rPr>
          <w:sz w:val="28"/>
          <w:szCs w:val="28"/>
          <w:lang w:val="vi-VN" w:eastAsia="zh-CN"/>
        </w:rPr>
      </w:pPr>
      <w:r w:rsidRPr="00C61221">
        <w:rPr>
          <w:sz w:val="28"/>
          <w:szCs w:val="28"/>
          <w:lang w:eastAsia="zh-CN"/>
        </w:rPr>
        <w:tab/>
      </w:r>
      <w:r w:rsidRPr="00C61221">
        <w:rPr>
          <w:sz w:val="28"/>
          <w:szCs w:val="28"/>
          <w:lang w:val="vi-VN" w:eastAsia="zh-CN"/>
        </w:rPr>
        <w:t xml:space="preserve">Ngoài ra, Tỉnh đã tổ chức 84 lớp tập huấn, tuyên truyền, phổ biến trong cán bộ, đảng viên, nhân dân và thành viên của HTX về Luật </w:t>
      </w:r>
      <w:r w:rsidR="0095714B">
        <w:rPr>
          <w:sz w:val="28"/>
          <w:szCs w:val="28"/>
          <w:lang w:eastAsia="zh-CN"/>
        </w:rPr>
        <w:t>HTX</w:t>
      </w:r>
      <w:r w:rsidRPr="00C61221">
        <w:rPr>
          <w:sz w:val="28"/>
          <w:szCs w:val="28"/>
          <w:lang w:eastAsia="zh-CN"/>
        </w:rPr>
        <w:t xml:space="preserve"> 2012</w:t>
      </w:r>
      <w:r w:rsidRPr="00C61221">
        <w:rPr>
          <w:sz w:val="28"/>
          <w:szCs w:val="28"/>
          <w:lang w:val="vi-VN" w:eastAsia="zh-CN"/>
        </w:rPr>
        <w:t xml:space="preserve"> và các văn bản hướng dẫn thi hành, Kết luận 56-KL/TW của Bộ Chính trị,  Kế hoạch số 66-KH/TU ngày 04</w:t>
      </w:r>
      <w:r w:rsidRPr="00C61221">
        <w:rPr>
          <w:sz w:val="28"/>
          <w:szCs w:val="28"/>
          <w:lang w:eastAsia="zh-CN"/>
        </w:rPr>
        <w:t>/</w:t>
      </w:r>
      <w:r w:rsidRPr="00C61221">
        <w:rPr>
          <w:sz w:val="28"/>
          <w:szCs w:val="28"/>
          <w:lang w:val="vi-VN" w:eastAsia="zh-CN"/>
        </w:rPr>
        <w:t>6</w:t>
      </w:r>
      <w:r w:rsidRPr="00C61221">
        <w:rPr>
          <w:sz w:val="28"/>
          <w:szCs w:val="28"/>
          <w:lang w:eastAsia="zh-CN"/>
        </w:rPr>
        <w:t>/</w:t>
      </w:r>
      <w:r w:rsidRPr="00C61221">
        <w:rPr>
          <w:sz w:val="28"/>
          <w:szCs w:val="28"/>
          <w:lang w:val="vi-VN" w:eastAsia="zh-CN"/>
        </w:rPr>
        <w:t>2013, Kế hoạch số 13-KH/TU ngày 30/06/2016</w:t>
      </w:r>
      <w:r w:rsidRPr="00C61221">
        <w:rPr>
          <w:sz w:val="28"/>
          <w:szCs w:val="28"/>
          <w:lang w:eastAsia="zh-CN"/>
        </w:rPr>
        <w:t xml:space="preserve">  của Tỉnh </w:t>
      </w:r>
      <w:r w:rsidR="00015662">
        <w:rPr>
          <w:sz w:val="28"/>
          <w:szCs w:val="28"/>
          <w:lang w:eastAsia="zh-CN"/>
        </w:rPr>
        <w:t>uỷ</w:t>
      </w:r>
      <w:r w:rsidRPr="00C61221">
        <w:rPr>
          <w:sz w:val="28"/>
          <w:szCs w:val="28"/>
          <w:lang w:eastAsia="zh-CN"/>
        </w:rPr>
        <w:t xml:space="preserve"> với hơn </w:t>
      </w:r>
      <w:r w:rsidRPr="00C61221">
        <w:rPr>
          <w:sz w:val="28"/>
          <w:szCs w:val="28"/>
          <w:lang w:val="zu-ZA" w:eastAsia="zh-CN"/>
        </w:rPr>
        <w:t>1.533 người tham dự</w:t>
      </w:r>
      <w:r w:rsidRPr="00C61221">
        <w:rPr>
          <w:sz w:val="28"/>
          <w:szCs w:val="28"/>
          <w:lang w:val="vi-VN" w:eastAsia="zh-CN"/>
        </w:rPr>
        <w:t xml:space="preserve">; tham dự hội thảo, diễn đàn chia sẻ kinh nghiệm, tháo gỡ khó khăn trong quá trình hoạt động của HTX, các chuyến học tập kinh nghiệm, tham quan mô hình hoạt động hiệu quả tại một số Tỉnh; phát hành sách, báo, in ấn phẩm về giá trị, vai trò của </w:t>
      </w:r>
      <w:r w:rsidR="0095714B">
        <w:rPr>
          <w:sz w:val="28"/>
          <w:szCs w:val="28"/>
          <w:lang w:eastAsia="zh-CN"/>
        </w:rPr>
        <w:t>KTTT</w:t>
      </w:r>
      <w:r w:rsidRPr="00C61221">
        <w:rPr>
          <w:sz w:val="28"/>
          <w:szCs w:val="28"/>
          <w:vertAlign w:val="superscript"/>
          <w:lang w:eastAsia="zh-CN"/>
        </w:rPr>
        <w:t>(</w:t>
      </w:r>
      <w:r w:rsidRPr="00C61221">
        <w:rPr>
          <w:sz w:val="28"/>
          <w:szCs w:val="28"/>
          <w:vertAlign w:val="superscript"/>
          <w:lang w:val="vi-VN" w:eastAsia="zh-CN"/>
        </w:rPr>
        <w:footnoteReference w:id="5"/>
      </w:r>
      <w:r w:rsidRPr="00C61221">
        <w:rPr>
          <w:sz w:val="28"/>
          <w:szCs w:val="28"/>
          <w:vertAlign w:val="superscript"/>
          <w:lang w:eastAsia="zh-CN"/>
        </w:rPr>
        <w:t>)</w:t>
      </w:r>
      <w:r w:rsidRPr="00C61221">
        <w:rPr>
          <w:sz w:val="28"/>
          <w:szCs w:val="28"/>
          <w:lang w:val="vi-VN" w:eastAsia="zh-CN"/>
        </w:rPr>
        <w:t>.</w:t>
      </w:r>
      <w:r w:rsidR="0095714B">
        <w:rPr>
          <w:sz w:val="28"/>
          <w:szCs w:val="28"/>
          <w:lang w:eastAsia="zh-CN"/>
        </w:rPr>
        <w:t xml:space="preserve"> </w:t>
      </w:r>
      <w:r w:rsidRPr="00C61221">
        <w:rPr>
          <w:sz w:val="28"/>
          <w:szCs w:val="28"/>
          <w:lang w:val="vi-VN" w:eastAsia="zh-CN"/>
        </w:rPr>
        <w:t>Tập trung tuyên truyền về phát triển nông nghiệp bền vững trên cơ sở đổi mới tổ chức sản xuất, đẩy mạnh “</w:t>
      </w:r>
      <w:r w:rsidRPr="0095714B">
        <w:rPr>
          <w:i/>
          <w:sz w:val="28"/>
          <w:szCs w:val="28"/>
          <w:lang w:val="vi-VN" w:eastAsia="zh-CN"/>
        </w:rPr>
        <w:t>hợp tác</w:t>
      </w:r>
      <w:r w:rsidR="0095714B" w:rsidRPr="0095714B">
        <w:rPr>
          <w:i/>
          <w:sz w:val="28"/>
          <w:szCs w:val="28"/>
          <w:lang w:eastAsia="zh-CN"/>
        </w:rPr>
        <w:t xml:space="preserve"> </w:t>
      </w:r>
      <w:r w:rsidRPr="0095714B">
        <w:rPr>
          <w:i/>
          <w:sz w:val="28"/>
          <w:szCs w:val="28"/>
          <w:lang w:val="vi-VN" w:eastAsia="zh-CN"/>
        </w:rPr>
        <w:t>-</w:t>
      </w:r>
      <w:r w:rsidR="0095714B" w:rsidRPr="0095714B">
        <w:rPr>
          <w:i/>
          <w:sz w:val="28"/>
          <w:szCs w:val="28"/>
          <w:lang w:eastAsia="zh-CN"/>
        </w:rPr>
        <w:t xml:space="preserve"> </w:t>
      </w:r>
      <w:r w:rsidRPr="0095714B">
        <w:rPr>
          <w:i/>
          <w:sz w:val="28"/>
          <w:szCs w:val="28"/>
          <w:lang w:val="vi-VN" w:eastAsia="zh-CN"/>
        </w:rPr>
        <w:t>liên kết</w:t>
      </w:r>
      <w:r w:rsidR="0095714B" w:rsidRPr="0095714B">
        <w:rPr>
          <w:i/>
          <w:sz w:val="28"/>
          <w:szCs w:val="28"/>
          <w:lang w:eastAsia="zh-CN"/>
        </w:rPr>
        <w:t xml:space="preserve"> </w:t>
      </w:r>
      <w:r w:rsidRPr="0095714B">
        <w:rPr>
          <w:i/>
          <w:sz w:val="28"/>
          <w:szCs w:val="28"/>
          <w:lang w:val="vi-VN" w:eastAsia="zh-CN"/>
        </w:rPr>
        <w:t>-</w:t>
      </w:r>
      <w:r w:rsidR="0095714B" w:rsidRPr="0095714B">
        <w:rPr>
          <w:i/>
          <w:sz w:val="28"/>
          <w:szCs w:val="28"/>
          <w:lang w:eastAsia="zh-CN"/>
        </w:rPr>
        <w:t xml:space="preserve"> </w:t>
      </w:r>
      <w:r w:rsidRPr="0095714B">
        <w:rPr>
          <w:i/>
          <w:sz w:val="28"/>
          <w:szCs w:val="28"/>
          <w:lang w:val="vi-VN" w:eastAsia="zh-CN"/>
        </w:rPr>
        <w:t>thị trường</w:t>
      </w:r>
      <w:r w:rsidRPr="00C61221">
        <w:rPr>
          <w:sz w:val="28"/>
          <w:szCs w:val="28"/>
          <w:lang w:val="vi-VN" w:eastAsia="zh-CN"/>
        </w:rPr>
        <w:t xml:space="preserve">” giảm chi phí sản xuất, tăng chất lượng, đặc biệt là liên kết giữa sản xuất và tiêu thụ sản phẩm. Qua tuyên truyền, tập huấn đã giúp cán bộ, đảng viên, nhân dân và thành viên của Hợp tác xã biết được mục đích, ý nghĩa và bản chất hoạt động của </w:t>
      </w:r>
      <w:r w:rsidR="0095714B">
        <w:rPr>
          <w:sz w:val="28"/>
          <w:szCs w:val="28"/>
          <w:lang w:eastAsia="zh-CN"/>
        </w:rPr>
        <w:t>HTX</w:t>
      </w:r>
      <w:r w:rsidRPr="00C61221">
        <w:rPr>
          <w:sz w:val="28"/>
          <w:szCs w:val="28"/>
          <w:lang w:val="vi-VN" w:eastAsia="zh-CN"/>
        </w:rPr>
        <w:t xml:space="preserve"> theo quy định của Luật </w:t>
      </w:r>
      <w:r w:rsidR="0095714B">
        <w:rPr>
          <w:sz w:val="28"/>
          <w:szCs w:val="28"/>
          <w:lang w:eastAsia="zh-CN"/>
        </w:rPr>
        <w:t>HTX</w:t>
      </w:r>
      <w:r w:rsidRPr="00C61221">
        <w:rPr>
          <w:sz w:val="28"/>
          <w:szCs w:val="28"/>
          <w:lang w:val="vi-VN" w:eastAsia="zh-CN"/>
        </w:rPr>
        <w:t xml:space="preserve"> năm 2012. </w:t>
      </w:r>
      <w:r w:rsidR="00785647" w:rsidRPr="00785647">
        <w:rPr>
          <w:sz w:val="28"/>
          <w:szCs w:val="28"/>
          <w:lang w:val="vi-VN" w:eastAsia="zh-CN"/>
        </w:rPr>
        <w:t xml:space="preserve">Thực hiện Kế hoạch số 870/KH-LMHTXVN ngày 17/12/2015 của Liên minh HTX Việt Nam về tổ chức cuộc thi tìm hiểu các loại mô hình HTX kiểu mới, UBND Tỉnh đã phát động, phổ biến và xây dựng Kế hoạch tổ chức cuộc thi tìm hiểu Luật HTX ở cấp tỉnh, huyện, kết quả có 10 bài dự thi đạt chất lượng gửi về Liên minh HTX Việt Nam tham gia vòng chung khảo. </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eastAsia="zh-CN"/>
        </w:rPr>
        <w:tab/>
      </w:r>
      <w:r w:rsidR="00E47C44">
        <w:rPr>
          <w:sz w:val="28"/>
          <w:szCs w:val="28"/>
          <w:lang w:eastAsia="zh-CN"/>
        </w:rPr>
        <w:t xml:space="preserve">Bên cạnh đó, </w:t>
      </w:r>
      <w:r w:rsidRPr="00C61221">
        <w:rPr>
          <w:sz w:val="28"/>
          <w:szCs w:val="28"/>
          <w:lang w:val="vi-VN" w:eastAsia="zh-CN"/>
        </w:rPr>
        <w:t>Mặt trận Tổ quốc Tỉnh và các tổ chức thành viên các cấp, các tổ chức chính trị</w:t>
      </w:r>
      <w:r w:rsidR="0095714B">
        <w:rPr>
          <w:sz w:val="28"/>
          <w:szCs w:val="28"/>
          <w:lang w:eastAsia="zh-CN"/>
        </w:rPr>
        <w:t xml:space="preserve"> </w:t>
      </w:r>
      <w:r w:rsidRPr="00C61221">
        <w:rPr>
          <w:sz w:val="28"/>
          <w:szCs w:val="28"/>
          <w:lang w:val="vi-VN" w:eastAsia="zh-CN"/>
        </w:rPr>
        <w:t>-</w:t>
      </w:r>
      <w:r w:rsidR="0095714B">
        <w:rPr>
          <w:sz w:val="28"/>
          <w:szCs w:val="28"/>
          <w:lang w:eastAsia="zh-CN"/>
        </w:rPr>
        <w:t xml:space="preserve"> </w:t>
      </w:r>
      <w:r w:rsidRPr="00C61221">
        <w:rPr>
          <w:sz w:val="28"/>
          <w:szCs w:val="28"/>
          <w:lang w:val="vi-VN" w:eastAsia="zh-CN"/>
        </w:rPr>
        <w:t xml:space="preserve">xã hội đã tuyên truyền, phổ biến các văn bản pháp luật về </w:t>
      </w:r>
      <w:r w:rsidR="0095714B">
        <w:rPr>
          <w:sz w:val="28"/>
          <w:szCs w:val="28"/>
          <w:lang w:eastAsia="zh-CN"/>
        </w:rPr>
        <w:t>HTX</w:t>
      </w:r>
      <w:r w:rsidRPr="00C61221">
        <w:rPr>
          <w:sz w:val="28"/>
          <w:szCs w:val="28"/>
          <w:lang w:val="vi-VN" w:eastAsia="zh-CN"/>
        </w:rPr>
        <w:t xml:space="preserve">, </w:t>
      </w:r>
      <w:r w:rsidR="0095714B">
        <w:rPr>
          <w:sz w:val="28"/>
          <w:szCs w:val="28"/>
          <w:lang w:eastAsia="zh-CN"/>
        </w:rPr>
        <w:t>KTTT</w:t>
      </w:r>
      <w:r w:rsidRPr="00C61221">
        <w:rPr>
          <w:sz w:val="28"/>
          <w:szCs w:val="28"/>
          <w:lang w:val="vi-VN" w:eastAsia="zh-CN"/>
        </w:rPr>
        <w:t xml:space="preserve"> nhằm tăng cường nhận thức cán bộ, nhân dân về </w:t>
      </w:r>
      <w:r w:rsidR="0095714B">
        <w:rPr>
          <w:sz w:val="28"/>
          <w:szCs w:val="28"/>
          <w:lang w:eastAsia="zh-CN"/>
        </w:rPr>
        <w:t>KTTT</w:t>
      </w:r>
      <w:r w:rsidRPr="00C61221">
        <w:rPr>
          <w:sz w:val="28"/>
          <w:szCs w:val="28"/>
          <w:lang w:val="vi-VN" w:eastAsia="zh-CN"/>
        </w:rPr>
        <w:t xml:space="preserve">. </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b/>
          <w:sz w:val="28"/>
          <w:szCs w:val="28"/>
          <w:lang w:eastAsia="zh-CN"/>
        </w:rPr>
        <w:t xml:space="preserve">2. </w:t>
      </w:r>
      <w:r w:rsidRPr="00C61221">
        <w:rPr>
          <w:b/>
          <w:sz w:val="28"/>
          <w:szCs w:val="28"/>
          <w:lang w:val="de-DE" w:eastAsia="zh-CN"/>
        </w:rPr>
        <w:t>Công tác tổ chức bộ máy quản lý nhà nước về KTTT, HTX</w:t>
      </w:r>
    </w:p>
    <w:p w:rsidR="004517D4" w:rsidRPr="00C61221" w:rsidRDefault="004517D4" w:rsidP="00C61221">
      <w:pPr>
        <w:tabs>
          <w:tab w:val="left" w:pos="0"/>
          <w:tab w:val="left" w:pos="567"/>
          <w:tab w:val="left" w:pos="851"/>
        </w:tabs>
        <w:spacing w:before="60" w:after="60"/>
        <w:ind w:firstLine="720"/>
        <w:jc w:val="both"/>
        <w:rPr>
          <w:i/>
          <w:sz w:val="28"/>
          <w:szCs w:val="28"/>
          <w:lang w:val="de-DE" w:eastAsia="zh-CN"/>
        </w:rPr>
      </w:pPr>
      <w:r w:rsidRPr="00C61221">
        <w:rPr>
          <w:i/>
          <w:sz w:val="28"/>
          <w:szCs w:val="28"/>
          <w:lang w:eastAsia="zh-CN"/>
        </w:rPr>
        <w:t xml:space="preserve">2.1. </w:t>
      </w:r>
      <w:r w:rsidRPr="00C61221">
        <w:rPr>
          <w:i/>
          <w:spacing w:val="-2"/>
          <w:sz w:val="28"/>
          <w:szCs w:val="28"/>
          <w:lang w:eastAsia="zh-CN"/>
        </w:rPr>
        <w:t>Công tác thành lập và kiện toàn bộ máy quản lý nhà nước về KTTT, HTX</w:t>
      </w:r>
      <w:r w:rsidRPr="00C61221">
        <w:rPr>
          <w:i/>
          <w:spacing w:val="-2"/>
          <w:lang w:eastAsia="zh-CN"/>
        </w:rPr>
        <w:t xml:space="preserve"> </w:t>
      </w:r>
      <w:r w:rsidRPr="00C61221">
        <w:rPr>
          <w:i/>
          <w:spacing w:val="-2"/>
          <w:sz w:val="28"/>
          <w:szCs w:val="28"/>
          <w:lang w:eastAsia="zh-CN"/>
        </w:rPr>
        <w:t xml:space="preserve">theo </w:t>
      </w:r>
      <w:r w:rsidR="009D1078" w:rsidRPr="009D1078">
        <w:rPr>
          <w:i/>
          <w:spacing w:val="-2"/>
          <w:sz w:val="28"/>
          <w:szCs w:val="28"/>
          <w:lang w:eastAsia="zh-CN"/>
        </w:rPr>
        <w:t>Thông tư liên tịch số 21/2015/TTLT-BKHĐT-BNV ngày 11/12/2015 của Bộ trưởng Bộ Kế hoạch và Đầu tư và Bộ trưởng Bộ Nội vụ hướng dẫn chức năng, nhiệm vụ, quyền hạn và cơ cấu tổ chức của Sở Kế hoạch và Đầu tư thuộc UBND tỉnh, thành phố trực thuộc Trung ương và Phòng Tài chính - Kế hoạch thuộc UBND quận, huyện, thị xã, thành phố thuộc tỉnh</w:t>
      </w:r>
    </w:p>
    <w:p w:rsidR="004517D4" w:rsidRPr="00C61221" w:rsidRDefault="004517D4" w:rsidP="00C61221">
      <w:pPr>
        <w:spacing w:before="60" w:after="60"/>
        <w:ind w:firstLine="720"/>
        <w:jc w:val="both"/>
        <w:rPr>
          <w:bCs/>
          <w:sz w:val="28"/>
          <w:szCs w:val="28"/>
          <w:lang w:eastAsia="zh-CN"/>
        </w:rPr>
      </w:pPr>
      <w:r w:rsidRPr="00C61221">
        <w:rPr>
          <w:sz w:val="28"/>
          <w:szCs w:val="28"/>
          <w:lang w:eastAsia="zh-CN"/>
        </w:rPr>
        <w:t xml:space="preserve">Hiện nay, có 03 cơ quan chuyên môn thuộc </w:t>
      </w:r>
      <w:r w:rsidR="00C75AC9">
        <w:rPr>
          <w:sz w:val="28"/>
          <w:szCs w:val="28"/>
          <w:lang w:eastAsia="zh-CN"/>
        </w:rPr>
        <w:t>UBND</w:t>
      </w:r>
      <w:r w:rsidRPr="00C61221">
        <w:rPr>
          <w:sz w:val="28"/>
          <w:szCs w:val="28"/>
          <w:lang w:eastAsia="zh-CN"/>
        </w:rPr>
        <w:t xml:space="preserve"> Tỉnh, thuộc </w:t>
      </w:r>
      <w:r w:rsidR="00C75AC9">
        <w:rPr>
          <w:sz w:val="28"/>
          <w:szCs w:val="28"/>
          <w:lang w:eastAsia="zh-CN"/>
        </w:rPr>
        <w:t>UBND</w:t>
      </w:r>
      <w:r w:rsidRPr="00C61221">
        <w:rPr>
          <w:sz w:val="28"/>
          <w:szCs w:val="28"/>
          <w:lang w:eastAsia="zh-CN"/>
        </w:rPr>
        <w:t xml:space="preserve"> cấp huyện tham mưu quản lý nhà nước về </w:t>
      </w:r>
      <w:r w:rsidR="00C75AC9">
        <w:rPr>
          <w:sz w:val="28"/>
          <w:szCs w:val="28"/>
          <w:lang w:eastAsia="zh-CN"/>
        </w:rPr>
        <w:t>KTTT</w:t>
      </w:r>
      <w:r w:rsidRPr="00C61221">
        <w:rPr>
          <w:sz w:val="28"/>
          <w:szCs w:val="28"/>
          <w:lang w:eastAsia="zh-CN"/>
        </w:rPr>
        <w:t xml:space="preserve">, </w:t>
      </w:r>
      <w:r w:rsidR="00C75AC9">
        <w:rPr>
          <w:sz w:val="28"/>
          <w:szCs w:val="28"/>
          <w:lang w:eastAsia="zh-CN"/>
        </w:rPr>
        <w:t>kinh tế hợp tác</w:t>
      </w:r>
      <w:r w:rsidRPr="00C61221">
        <w:rPr>
          <w:sz w:val="28"/>
          <w:szCs w:val="28"/>
          <w:lang w:eastAsia="zh-CN"/>
        </w:rPr>
        <w:t xml:space="preserve">, </w:t>
      </w:r>
      <w:r w:rsidR="00C75AC9">
        <w:rPr>
          <w:sz w:val="28"/>
          <w:szCs w:val="28"/>
          <w:lang w:eastAsia="zh-CN"/>
        </w:rPr>
        <w:t>HTX</w:t>
      </w:r>
      <w:r w:rsidRPr="00C61221">
        <w:rPr>
          <w:sz w:val="28"/>
          <w:szCs w:val="28"/>
          <w:lang w:eastAsia="zh-CN"/>
        </w:rPr>
        <w:t xml:space="preserve"> theo ngành lĩnh vực, cụ thể như sau:</w:t>
      </w:r>
    </w:p>
    <w:p w:rsidR="004517D4" w:rsidRPr="009D1078" w:rsidRDefault="009D1078" w:rsidP="00C61221">
      <w:pPr>
        <w:spacing w:before="60" w:after="60"/>
        <w:ind w:firstLine="720"/>
        <w:jc w:val="both"/>
        <w:rPr>
          <w:sz w:val="28"/>
          <w:szCs w:val="28"/>
          <w:lang w:eastAsia="zh-CN"/>
        </w:rPr>
      </w:pPr>
      <w:r>
        <w:rPr>
          <w:iCs/>
          <w:sz w:val="28"/>
          <w:szCs w:val="28"/>
          <w:lang w:eastAsia="zh-CN"/>
        </w:rPr>
        <w:t>- U</w:t>
      </w:r>
      <w:r w:rsidR="00C75AC9" w:rsidRPr="009D1078">
        <w:rPr>
          <w:iCs/>
          <w:sz w:val="28"/>
          <w:szCs w:val="28"/>
          <w:lang w:eastAsia="zh-CN"/>
        </w:rPr>
        <w:t>BND</w:t>
      </w:r>
      <w:r w:rsidR="004517D4" w:rsidRPr="009D1078">
        <w:rPr>
          <w:iCs/>
          <w:sz w:val="28"/>
          <w:szCs w:val="28"/>
          <w:lang w:eastAsia="zh-CN"/>
        </w:rPr>
        <w:t xml:space="preserve"> Tỉnh </w:t>
      </w:r>
      <w:r>
        <w:rPr>
          <w:iCs/>
          <w:sz w:val="28"/>
          <w:szCs w:val="28"/>
          <w:lang w:eastAsia="zh-CN"/>
        </w:rPr>
        <w:t xml:space="preserve">đã </w:t>
      </w:r>
      <w:r w:rsidR="004517D4" w:rsidRPr="009D1078">
        <w:rPr>
          <w:iCs/>
          <w:sz w:val="28"/>
          <w:szCs w:val="28"/>
          <w:lang w:eastAsia="zh-CN"/>
        </w:rPr>
        <w:t xml:space="preserve">ban hành Quyết định số 57/2016/QĐ-UBND ngày 20/10/2016 </w:t>
      </w:r>
      <w:r>
        <w:rPr>
          <w:iCs/>
          <w:sz w:val="28"/>
          <w:szCs w:val="28"/>
          <w:lang w:eastAsia="zh-CN"/>
        </w:rPr>
        <w:t>q</w:t>
      </w:r>
      <w:r w:rsidR="004517D4" w:rsidRPr="009D1078">
        <w:rPr>
          <w:iCs/>
          <w:sz w:val="28"/>
          <w:szCs w:val="28"/>
          <w:lang w:eastAsia="zh-CN"/>
        </w:rPr>
        <w:t xml:space="preserve">uy định về chức năng, nhiệm vụ, quyền hạn và cơ cấu tổ chức của </w:t>
      </w:r>
      <w:r w:rsidR="004517D4" w:rsidRPr="009D1078">
        <w:rPr>
          <w:iCs/>
          <w:sz w:val="28"/>
          <w:szCs w:val="28"/>
          <w:lang w:eastAsia="zh-CN"/>
        </w:rPr>
        <w:lastRenderedPageBreak/>
        <w:t xml:space="preserve">Sở Kế hoạch và Đầu tư tỉnh Đồng Tháp, theo đó </w:t>
      </w:r>
      <w:r w:rsidR="004517D4" w:rsidRPr="009D1078">
        <w:rPr>
          <w:sz w:val="28"/>
          <w:szCs w:val="28"/>
          <w:lang w:eastAsia="zh-CN"/>
        </w:rPr>
        <w:t xml:space="preserve">Sở Kế hoạch và Đầu tư là cơ quan chuyên môn trực thuộc </w:t>
      </w:r>
      <w:r w:rsidR="00834B28">
        <w:rPr>
          <w:sz w:val="28"/>
          <w:szCs w:val="28"/>
          <w:lang w:eastAsia="zh-CN"/>
        </w:rPr>
        <w:t>UBND</w:t>
      </w:r>
      <w:r w:rsidR="004517D4" w:rsidRPr="009D1078">
        <w:rPr>
          <w:sz w:val="28"/>
          <w:szCs w:val="28"/>
          <w:lang w:eastAsia="zh-CN"/>
        </w:rPr>
        <w:t xml:space="preserve"> Tỉnh thực hiện chức năng tham mưu, giúp </w:t>
      </w:r>
      <w:r w:rsidR="00834B28">
        <w:rPr>
          <w:sz w:val="28"/>
          <w:szCs w:val="28"/>
          <w:lang w:eastAsia="zh-CN"/>
        </w:rPr>
        <w:t>UBND</w:t>
      </w:r>
      <w:r w:rsidR="004517D4" w:rsidRPr="009D1078">
        <w:rPr>
          <w:sz w:val="28"/>
          <w:szCs w:val="28"/>
          <w:lang w:eastAsia="zh-CN"/>
        </w:rPr>
        <w:t xml:space="preserve"> Tỉnh quản lý nhà nước về </w:t>
      </w:r>
      <w:r w:rsidR="00834B28">
        <w:rPr>
          <w:sz w:val="28"/>
          <w:szCs w:val="28"/>
          <w:lang w:eastAsia="zh-CN"/>
        </w:rPr>
        <w:t>KTTT</w:t>
      </w:r>
      <w:r w:rsidR="004517D4" w:rsidRPr="009D1078">
        <w:rPr>
          <w:sz w:val="28"/>
          <w:szCs w:val="28"/>
          <w:lang w:eastAsia="zh-CN"/>
        </w:rPr>
        <w:t xml:space="preserve">, </w:t>
      </w:r>
      <w:r w:rsidR="00834B28">
        <w:rPr>
          <w:sz w:val="28"/>
          <w:szCs w:val="28"/>
          <w:lang w:eastAsia="zh-CN"/>
        </w:rPr>
        <w:t>HTX</w:t>
      </w:r>
      <w:r w:rsidR="004517D4" w:rsidRPr="009D1078">
        <w:rPr>
          <w:sz w:val="28"/>
          <w:szCs w:val="28"/>
          <w:lang w:eastAsia="zh-CN"/>
        </w:rPr>
        <w:t xml:space="preserve"> theo đúng quy định. </w:t>
      </w:r>
      <w:r w:rsidR="004517D4" w:rsidRPr="009D1078">
        <w:rPr>
          <w:iCs/>
          <w:sz w:val="28"/>
          <w:szCs w:val="28"/>
          <w:lang w:eastAsia="zh-CN"/>
        </w:rPr>
        <w:t xml:space="preserve">Theo phân cấp quản lý, </w:t>
      </w:r>
      <w:r w:rsidR="00834B28">
        <w:rPr>
          <w:iCs/>
          <w:sz w:val="28"/>
          <w:szCs w:val="28"/>
          <w:lang w:eastAsia="zh-CN"/>
        </w:rPr>
        <w:t>UBND</w:t>
      </w:r>
      <w:r w:rsidR="004517D4" w:rsidRPr="009D1078">
        <w:rPr>
          <w:iCs/>
          <w:sz w:val="28"/>
          <w:szCs w:val="28"/>
          <w:lang w:eastAsia="zh-CN"/>
        </w:rPr>
        <w:t xml:space="preserve"> cấp huyện ban hành Quy định về chức năng, nhiệm vụ, quyền hạn, tổ chức và biên chế của Phòng Tài chính - Kế hoạch theo quy định, theo đó </w:t>
      </w:r>
      <w:r w:rsidR="004517D4" w:rsidRPr="009D1078">
        <w:rPr>
          <w:sz w:val="28"/>
          <w:szCs w:val="28"/>
          <w:lang w:val="vi-VN" w:eastAsia="zh-CN"/>
        </w:rPr>
        <w:t xml:space="preserve">Phòng Tài chính - Kế hoạch </w:t>
      </w:r>
      <w:r w:rsidR="004517D4" w:rsidRPr="009D1078">
        <w:rPr>
          <w:sz w:val="28"/>
          <w:szCs w:val="28"/>
          <w:lang w:eastAsia="zh-CN"/>
        </w:rPr>
        <w:t>l</w:t>
      </w:r>
      <w:r w:rsidR="004517D4" w:rsidRPr="009D1078">
        <w:rPr>
          <w:sz w:val="28"/>
          <w:szCs w:val="28"/>
          <w:lang w:val="vi-VN" w:eastAsia="zh-CN"/>
        </w:rPr>
        <w:t xml:space="preserve">à cơ quan chuyên môn thuộc </w:t>
      </w:r>
      <w:r w:rsidR="00834B28">
        <w:rPr>
          <w:sz w:val="28"/>
          <w:szCs w:val="28"/>
          <w:shd w:val="clear" w:color="auto" w:fill="FFFFFF"/>
          <w:lang w:eastAsia="zh-CN"/>
        </w:rPr>
        <w:t>UBND</w:t>
      </w:r>
      <w:r w:rsidR="004517D4" w:rsidRPr="009D1078">
        <w:rPr>
          <w:sz w:val="28"/>
          <w:szCs w:val="28"/>
          <w:lang w:val="vi-VN" w:eastAsia="zh-CN"/>
        </w:rPr>
        <w:t xml:space="preserve"> cấp huyện thực hiện chức năng tham mưu, giúp </w:t>
      </w:r>
      <w:r w:rsidR="00015662" w:rsidRPr="009D1078">
        <w:rPr>
          <w:sz w:val="28"/>
          <w:szCs w:val="28"/>
          <w:shd w:val="clear" w:color="auto" w:fill="FFFFFF"/>
          <w:lang w:val="vi-VN" w:eastAsia="zh-CN"/>
        </w:rPr>
        <w:t>Uỷ</w:t>
      </w:r>
      <w:r w:rsidR="004517D4" w:rsidRPr="009D1078">
        <w:rPr>
          <w:sz w:val="28"/>
          <w:szCs w:val="28"/>
          <w:shd w:val="clear" w:color="auto" w:fill="FFFFFF"/>
          <w:lang w:val="vi-VN" w:eastAsia="zh-CN"/>
        </w:rPr>
        <w:t xml:space="preserve"> ban</w:t>
      </w:r>
      <w:r w:rsidR="004517D4" w:rsidRPr="009D1078">
        <w:rPr>
          <w:sz w:val="28"/>
          <w:szCs w:val="28"/>
          <w:lang w:val="vi-VN" w:eastAsia="zh-CN"/>
        </w:rPr>
        <w:t xml:space="preserve"> nhân dân cấp huyện quản lý nhà nước về </w:t>
      </w:r>
      <w:r w:rsidR="00834B28">
        <w:rPr>
          <w:sz w:val="28"/>
          <w:szCs w:val="28"/>
          <w:lang w:eastAsia="zh-CN"/>
        </w:rPr>
        <w:t>KTTT</w:t>
      </w:r>
      <w:r w:rsidR="004517D4" w:rsidRPr="009D1078">
        <w:rPr>
          <w:sz w:val="28"/>
          <w:szCs w:val="28"/>
          <w:lang w:val="vi-VN" w:eastAsia="zh-CN"/>
        </w:rPr>
        <w:t xml:space="preserve">, </w:t>
      </w:r>
      <w:r w:rsidR="00834B28">
        <w:rPr>
          <w:sz w:val="28"/>
          <w:szCs w:val="28"/>
          <w:lang w:eastAsia="zh-CN"/>
        </w:rPr>
        <w:t>HTX</w:t>
      </w:r>
      <w:r w:rsidR="004517D4" w:rsidRPr="009D1078">
        <w:rPr>
          <w:sz w:val="28"/>
          <w:szCs w:val="28"/>
          <w:lang w:val="vi-VN" w:eastAsia="zh-CN"/>
        </w:rPr>
        <w:t>, theo quy định của pháp luật.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Thông tư liên tịch số 14/2015/TTLT-BNNPTNT-BNV ngày 25/3/2015 của Bộ trưởng Bộ Nông nghiệp và Phát triển nông thôn </w:t>
      </w:r>
      <w:r w:rsidR="00834B28">
        <w:rPr>
          <w:sz w:val="28"/>
          <w:szCs w:val="28"/>
          <w:lang w:eastAsia="zh-CN"/>
        </w:rPr>
        <w:t xml:space="preserve">(PTNT) </w:t>
      </w:r>
      <w:r w:rsidRPr="00C61221">
        <w:rPr>
          <w:sz w:val="28"/>
          <w:szCs w:val="28"/>
          <w:lang w:eastAsia="zh-CN"/>
        </w:rPr>
        <w:t xml:space="preserve">và Bộ trưởng Bộ Nội vụ hướng dẫn chức năng, nhiệm vụ, quyền hạn và cơ cấu tổ chức của cơ quan chuyên môn về nông nghiệp và </w:t>
      </w:r>
      <w:r w:rsidR="00834B28">
        <w:rPr>
          <w:sz w:val="28"/>
          <w:szCs w:val="28"/>
          <w:lang w:eastAsia="zh-CN"/>
        </w:rPr>
        <w:t>PTNT</w:t>
      </w:r>
      <w:r w:rsidRPr="00C61221">
        <w:rPr>
          <w:sz w:val="28"/>
          <w:szCs w:val="28"/>
          <w:lang w:eastAsia="zh-CN"/>
        </w:rPr>
        <w:t xml:space="preserve"> thuộc </w:t>
      </w:r>
      <w:r w:rsidR="00834B28">
        <w:rPr>
          <w:sz w:val="28"/>
          <w:szCs w:val="28"/>
          <w:lang w:eastAsia="zh-CN"/>
        </w:rPr>
        <w:t>UBND</w:t>
      </w:r>
      <w:r w:rsidRPr="00C61221">
        <w:rPr>
          <w:sz w:val="28"/>
          <w:szCs w:val="28"/>
          <w:lang w:eastAsia="zh-CN"/>
        </w:rPr>
        <w:t xml:space="preserve"> cấp tỉnh, cấp huyện, </w:t>
      </w:r>
      <w:r w:rsidR="00834B28">
        <w:rPr>
          <w:sz w:val="28"/>
          <w:szCs w:val="28"/>
          <w:lang w:eastAsia="zh-CN"/>
        </w:rPr>
        <w:t>UBND</w:t>
      </w:r>
      <w:r w:rsidRPr="00C61221">
        <w:rPr>
          <w:sz w:val="28"/>
          <w:szCs w:val="28"/>
          <w:lang w:eastAsia="zh-CN"/>
        </w:rPr>
        <w:t xml:space="preserve"> Tỉnh </w:t>
      </w:r>
      <w:r w:rsidR="00834B28">
        <w:rPr>
          <w:sz w:val="28"/>
          <w:szCs w:val="28"/>
          <w:lang w:eastAsia="zh-CN"/>
        </w:rPr>
        <w:t xml:space="preserve">đã </w:t>
      </w:r>
      <w:r w:rsidRPr="00C61221">
        <w:rPr>
          <w:sz w:val="28"/>
          <w:szCs w:val="28"/>
          <w:lang w:eastAsia="zh-CN"/>
        </w:rPr>
        <w:t xml:space="preserve">ban hành Quyết định số 17/2016/QĐ-UBND ngày 30/3/2016 Quy định về chức năng, nhiệm vụ, quyền hạn và cơ cấu tổ chức của Sở Nông nghiệp và </w:t>
      </w:r>
      <w:r w:rsidR="00834B28">
        <w:rPr>
          <w:sz w:val="28"/>
          <w:szCs w:val="28"/>
          <w:lang w:eastAsia="zh-CN"/>
        </w:rPr>
        <w:t xml:space="preserve">PTNT </w:t>
      </w:r>
      <w:r w:rsidRPr="00C61221">
        <w:rPr>
          <w:sz w:val="28"/>
          <w:szCs w:val="28"/>
          <w:lang w:eastAsia="zh-CN"/>
        </w:rPr>
        <w:t xml:space="preserve">(được thay thế bởi Quyết định số 10/2019/QĐ-UBND ngày 06/6/2019), theo đó Sở Nông nghiệp và </w:t>
      </w:r>
      <w:r w:rsidR="00834B28">
        <w:rPr>
          <w:sz w:val="28"/>
          <w:szCs w:val="28"/>
          <w:lang w:eastAsia="zh-CN"/>
        </w:rPr>
        <w:t>PTNT</w:t>
      </w:r>
      <w:r w:rsidRPr="00C61221">
        <w:rPr>
          <w:sz w:val="28"/>
          <w:szCs w:val="28"/>
          <w:lang w:eastAsia="zh-CN"/>
        </w:rPr>
        <w:t xml:space="preserve"> là cơ quan chuyên môn trực thuộc </w:t>
      </w:r>
      <w:r w:rsidR="00834B28">
        <w:rPr>
          <w:sz w:val="28"/>
          <w:szCs w:val="28"/>
          <w:lang w:eastAsia="zh-CN"/>
        </w:rPr>
        <w:t>UBND</w:t>
      </w:r>
      <w:r w:rsidRPr="00C61221">
        <w:rPr>
          <w:sz w:val="28"/>
          <w:szCs w:val="28"/>
          <w:lang w:eastAsia="zh-CN"/>
        </w:rPr>
        <w:t xml:space="preserve"> Tỉnh thực hiện chức năng tham mưu, giúp </w:t>
      </w:r>
      <w:r w:rsidR="00834B28">
        <w:rPr>
          <w:sz w:val="28"/>
          <w:szCs w:val="28"/>
          <w:lang w:eastAsia="zh-CN"/>
        </w:rPr>
        <w:t>UBND</w:t>
      </w:r>
      <w:r w:rsidRPr="00C61221">
        <w:rPr>
          <w:sz w:val="28"/>
          <w:szCs w:val="28"/>
          <w:lang w:eastAsia="zh-CN"/>
        </w:rPr>
        <w:t xml:space="preserve"> Tỉnh quản </w:t>
      </w:r>
      <w:r w:rsidR="00834B28">
        <w:rPr>
          <w:sz w:val="28"/>
          <w:szCs w:val="28"/>
          <w:lang w:eastAsia="zh-CN"/>
        </w:rPr>
        <w:t xml:space="preserve">lý nhà nước về PTNT </w:t>
      </w:r>
      <w:r w:rsidRPr="00C61221">
        <w:rPr>
          <w:sz w:val="28"/>
          <w:szCs w:val="28"/>
          <w:lang w:eastAsia="zh-CN"/>
        </w:rPr>
        <w:t xml:space="preserve">(trong đó Chi cục </w:t>
      </w:r>
      <w:r w:rsidR="00834B28">
        <w:rPr>
          <w:sz w:val="28"/>
          <w:szCs w:val="28"/>
          <w:lang w:eastAsia="zh-CN"/>
        </w:rPr>
        <w:t>PTNT trực</w:t>
      </w:r>
      <w:r w:rsidRPr="00C61221">
        <w:rPr>
          <w:sz w:val="28"/>
          <w:szCs w:val="28"/>
          <w:lang w:eastAsia="zh-CN"/>
        </w:rPr>
        <w:t xml:space="preserve"> thuộc Sở tham mưu giúp Giám đốc Sở quản lý về </w:t>
      </w:r>
      <w:r w:rsidR="00834B28">
        <w:rPr>
          <w:sz w:val="28"/>
          <w:szCs w:val="28"/>
          <w:lang w:eastAsia="zh-CN"/>
        </w:rPr>
        <w:t>KTHT</w:t>
      </w:r>
      <w:r w:rsidRPr="00C61221">
        <w:rPr>
          <w:sz w:val="28"/>
          <w:szCs w:val="28"/>
          <w:lang w:eastAsia="zh-CN"/>
        </w:rPr>
        <w:t xml:space="preserve">, </w:t>
      </w:r>
      <w:r w:rsidR="00834B28">
        <w:rPr>
          <w:sz w:val="28"/>
          <w:szCs w:val="28"/>
          <w:lang w:eastAsia="zh-CN"/>
        </w:rPr>
        <w:t>HTX</w:t>
      </w:r>
      <w:r w:rsidRPr="00C61221">
        <w:rPr>
          <w:sz w:val="28"/>
          <w:szCs w:val="28"/>
          <w:lang w:eastAsia="zh-CN"/>
        </w:rPr>
        <w:t xml:space="preserve"> trong nông nghiệp, nông thôn). </w:t>
      </w:r>
      <w:r w:rsidRPr="00834B28">
        <w:rPr>
          <w:iCs/>
          <w:sz w:val="28"/>
          <w:szCs w:val="28"/>
          <w:lang w:eastAsia="zh-CN"/>
        </w:rPr>
        <w:t xml:space="preserve">Theo phân cấp quản lý, </w:t>
      </w:r>
      <w:r w:rsidR="00834B28">
        <w:rPr>
          <w:iCs/>
          <w:sz w:val="28"/>
          <w:szCs w:val="28"/>
          <w:lang w:eastAsia="zh-CN"/>
        </w:rPr>
        <w:t>UBND</w:t>
      </w:r>
      <w:r w:rsidRPr="00834B28">
        <w:rPr>
          <w:iCs/>
          <w:sz w:val="28"/>
          <w:szCs w:val="28"/>
          <w:lang w:eastAsia="zh-CN"/>
        </w:rPr>
        <w:t xml:space="preserve"> cấp huyện ban hành Quy định về chức năng, nhiệm vụ, quyền hạn, tổ chức và biên chế của Phòng Nông nghiệp và </w:t>
      </w:r>
      <w:r w:rsidR="00B57C73">
        <w:rPr>
          <w:iCs/>
          <w:sz w:val="28"/>
          <w:szCs w:val="28"/>
          <w:lang w:eastAsia="zh-CN"/>
        </w:rPr>
        <w:t xml:space="preserve">PTNT </w:t>
      </w:r>
      <w:r w:rsidRPr="00834B28">
        <w:rPr>
          <w:iCs/>
          <w:sz w:val="28"/>
          <w:szCs w:val="28"/>
          <w:lang w:eastAsia="zh-CN"/>
        </w:rPr>
        <w:t>(hoặc Phòng Kinh tế) theo quy định, theo đó</w:t>
      </w:r>
      <w:r w:rsidRPr="00C61221">
        <w:rPr>
          <w:i/>
          <w:iCs/>
          <w:sz w:val="28"/>
          <w:szCs w:val="28"/>
          <w:lang w:eastAsia="zh-CN"/>
        </w:rPr>
        <w:t xml:space="preserve"> </w:t>
      </w:r>
      <w:r w:rsidRPr="00C61221">
        <w:rPr>
          <w:sz w:val="28"/>
          <w:szCs w:val="28"/>
          <w:lang w:val="vi-VN" w:eastAsia="zh-CN"/>
        </w:rPr>
        <w:t xml:space="preserve">Phòng </w:t>
      </w:r>
      <w:r w:rsidRPr="00C61221">
        <w:rPr>
          <w:sz w:val="28"/>
          <w:szCs w:val="28"/>
          <w:lang w:eastAsia="zh-CN"/>
        </w:rPr>
        <w:t xml:space="preserve">Nông nghiệp và </w:t>
      </w:r>
      <w:r w:rsidR="00B57C73">
        <w:rPr>
          <w:sz w:val="28"/>
          <w:szCs w:val="28"/>
          <w:lang w:eastAsia="zh-CN"/>
        </w:rPr>
        <w:t>PTNT</w:t>
      </w:r>
      <w:r w:rsidRPr="00C61221">
        <w:rPr>
          <w:sz w:val="28"/>
          <w:szCs w:val="28"/>
          <w:lang w:val="vi-VN" w:eastAsia="zh-CN"/>
        </w:rPr>
        <w:t xml:space="preserve"> </w:t>
      </w:r>
      <w:r w:rsidRPr="00C61221">
        <w:rPr>
          <w:sz w:val="28"/>
          <w:szCs w:val="28"/>
          <w:lang w:eastAsia="zh-CN"/>
        </w:rPr>
        <w:t>(hoặc Phòng Kinh tế) l</w:t>
      </w:r>
      <w:r w:rsidRPr="00C61221">
        <w:rPr>
          <w:sz w:val="28"/>
          <w:szCs w:val="28"/>
          <w:lang w:val="vi-VN" w:eastAsia="zh-CN"/>
        </w:rPr>
        <w:t xml:space="preserve">à cơ quan chuyên môn thuộc </w:t>
      </w:r>
      <w:r w:rsidR="00B57C73">
        <w:rPr>
          <w:sz w:val="28"/>
          <w:szCs w:val="28"/>
          <w:shd w:val="clear" w:color="auto" w:fill="FFFFFF"/>
          <w:lang w:eastAsia="zh-CN"/>
        </w:rPr>
        <w:t>UBND</w:t>
      </w:r>
      <w:r w:rsidRPr="00C61221">
        <w:rPr>
          <w:sz w:val="28"/>
          <w:szCs w:val="28"/>
          <w:lang w:val="vi-VN" w:eastAsia="zh-CN"/>
        </w:rPr>
        <w:t xml:space="preserve"> cấp huyện tham mưu, giúp </w:t>
      </w:r>
      <w:r w:rsidR="00B57C73">
        <w:rPr>
          <w:sz w:val="28"/>
          <w:szCs w:val="28"/>
          <w:shd w:val="clear" w:color="auto" w:fill="FFFFFF"/>
          <w:lang w:eastAsia="zh-CN"/>
        </w:rPr>
        <w:t xml:space="preserve">UBND </w:t>
      </w:r>
      <w:r w:rsidRPr="00C61221">
        <w:rPr>
          <w:sz w:val="28"/>
          <w:szCs w:val="28"/>
          <w:lang w:val="vi-VN" w:eastAsia="zh-CN"/>
        </w:rPr>
        <w:t xml:space="preserve">cấp huyện quản lý nhà nước </w:t>
      </w:r>
      <w:r w:rsidRPr="00C61221">
        <w:rPr>
          <w:sz w:val="28"/>
          <w:szCs w:val="28"/>
          <w:lang w:eastAsia="zh-CN"/>
        </w:rPr>
        <w:t xml:space="preserve">ở địa phương </w:t>
      </w:r>
      <w:r w:rsidRPr="00C61221">
        <w:rPr>
          <w:sz w:val="28"/>
          <w:szCs w:val="28"/>
          <w:lang w:val="vi-VN" w:eastAsia="zh-CN"/>
        </w:rPr>
        <w:t xml:space="preserve">về </w:t>
      </w:r>
      <w:r w:rsidR="00B57C73">
        <w:rPr>
          <w:sz w:val="28"/>
          <w:szCs w:val="28"/>
          <w:lang w:eastAsia="zh-CN"/>
        </w:rPr>
        <w:t>KTHT</w:t>
      </w:r>
      <w:r w:rsidRPr="00C61221">
        <w:rPr>
          <w:sz w:val="28"/>
          <w:szCs w:val="28"/>
          <w:lang w:eastAsia="zh-CN"/>
        </w:rPr>
        <w:t xml:space="preserve">, </w:t>
      </w:r>
      <w:r w:rsidR="00B57C73">
        <w:rPr>
          <w:sz w:val="28"/>
          <w:szCs w:val="28"/>
          <w:lang w:eastAsia="zh-CN"/>
        </w:rPr>
        <w:t>HTX</w:t>
      </w:r>
      <w:r w:rsidRPr="00C61221">
        <w:rPr>
          <w:sz w:val="28"/>
          <w:szCs w:val="28"/>
          <w:lang w:eastAsia="zh-CN"/>
        </w:rPr>
        <w:t xml:space="preserve"> trong nông nghiệp, nông thôn </w:t>
      </w:r>
      <w:r w:rsidRPr="00C61221">
        <w:rPr>
          <w:sz w:val="28"/>
          <w:szCs w:val="28"/>
          <w:lang w:val="vi-VN" w:eastAsia="zh-CN"/>
        </w:rPr>
        <w:t>theo quy định của pháp luật.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Thông tư liên tịch số 42/2015/TTLT-BGTVT-BNV ngày 14/8/2015 của Bộ trưởng Bộ Giao thông vận tải và Bộ trưởng Bộ Nội vụ hướng dẫn chức năng, nhiệm vụ, quyền hạn và cơ cấu tổ chức của cơ quan chuyên môn về giao thông vận tải thuộc </w:t>
      </w:r>
      <w:r w:rsidR="00B57C73">
        <w:rPr>
          <w:sz w:val="28"/>
          <w:szCs w:val="28"/>
          <w:lang w:eastAsia="zh-CN"/>
        </w:rPr>
        <w:t>UBND</w:t>
      </w:r>
      <w:r w:rsidRPr="00C61221">
        <w:rPr>
          <w:sz w:val="28"/>
          <w:szCs w:val="28"/>
          <w:lang w:eastAsia="zh-CN"/>
        </w:rPr>
        <w:t xml:space="preserve"> tỉnh, thành phố trực thuộc Trung ương và </w:t>
      </w:r>
      <w:r w:rsidR="00B57C73">
        <w:rPr>
          <w:sz w:val="28"/>
          <w:szCs w:val="28"/>
          <w:lang w:eastAsia="zh-CN"/>
        </w:rPr>
        <w:t>UBND</w:t>
      </w:r>
      <w:r w:rsidRPr="00C61221">
        <w:rPr>
          <w:sz w:val="28"/>
          <w:szCs w:val="28"/>
          <w:lang w:eastAsia="zh-CN"/>
        </w:rPr>
        <w:t xml:space="preserve"> huyện, quận, </w:t>
      </w:r>
      <w:r w:rsidRPr="00B57C73">
        <w:rPr>
          <w:sz w:val="28"/>
          <w:szCs w:val="28"/>
          <w:lang w:eastAsia="zh-CN"/>
        </w:rPr>
        <w:t xml:space="preserve">thị xã, thành phố thuộc tỉnh, </w:t>
      </w:r>
      <w:r w:rsidR="00015662" w:rsidRPr="00B57C73">
        <w:rPr>
          <w:sz w:val="28"/>
          <w:szCs w:val="28"/>
          <w:lang w:eastAsia="zh-CN"/>
        </w:rPr>
        <w:t>Uỷ</w:t>
      </w:r>
      <w:r w:rsidRPr="00B57C73">
        <w:rPr>
          <w:sz w:val="28"/>
          <w:szCs w:val="28"/>
          <w:lang w:eastAsia="zh-CN"/>
        </w:rPr>
        <w:t xml:space="preserve"> ban nhân dân Tỉnh ban hành Quyết định số 28/2016/QĐ-UBND ngày 23/5/2016 Quy định về chức năng, nhiệm vụ, quyền hạn và cơ cấu tổ chức của Sở Giao thông vận tải, theo đó Sở Giao thông vận tải tham mưu giúp </w:t>
      </w:r>
      <w:r w:rsidR="00B57C73" w:rsidRPr="00B57C73">
        <w:rPr>
          <w:sz w:val="28"/>
          <w:szCs w:val="28"/>
          <w:lang w:eastAsia="zh-CN"/>
        </w:rPr>
        <w:t>UBND</w:t>
      </w:r>
      <w:r w:rsidRPr="00B57C73">
        <w:rPr>
          <w:sz w:val="28"/>
          <w:szCs w:val="28"/>
          <w:lang w:eastAsia="zh-CN"/>
        </w:rPr>
        <w:t xml:space="preserve"> Tỉnh quản lý nhà nước về tổ chức </w:t>
      </w:r>
      <w:r w:rsidR="00B57C73" w:rsidRPr="00B57C73">
        <w:rPr>
          <w:sz w:val="28"/>
          <w:szCs w:val="28"/>
          <w:lang w:eastAsia="zh-CN"/>
        </w:rPr>
        <w:t>KTTT</w:t>
      </w:r>
      <w:r w:rsidRPr="00B57C73">
        <w:rPr>
          <w:sz w:val="28"/>
          <w:szCs w:val="28"/>
          <w:lang w:eastAsia="zh-CN"/>
        </w:rPr>
        <w:t xml:space="preserve"> thuộc lĩnh vực quản lý của Sở. </w:t>
      </w:r>
      <w:r w:rsidRPr="00B57C73">
        <w:rPr>
          <w:iCs/>
          <w:sz w:val="28"/>
          <w:szCs w:val="28"/>
          <w:lang w:eastAsia="zh-CN"/>
        </w:rPr>
        <w:t xml:space="preserve">Theo phân cấp quản lý, </w:t>
      </w:r>
      <w:r w:rsidR="00B57C73" w:rsidRPr="00B57C73">
        <w:rPr>
          <w:iCs/>
          <w:sz w:val="28"/>
          <w:szCs w:val="28"/>
          <w:lang w:eastAsia="zh-CN"/>
        </w:rPr>
        <w:t>UBND</w:t>
      </w:r>
      <w:r w:rsidRPr="00B57C73">
        <w:rPr>
          <w:iCs/>
          <w:sz w:val="28"/>
          <w:szCs w:val="28"/>
          <w:lang w:eastAsia="zh-CN"/>
        </w:rPr>
        <w:t xml:space="preserve"> cấp huyện ban hành Quy định về chức năng, nhiệm vụ, quyền hạn, tổ chức và biên chế của Phòng Kinh tế và Hạ tầng (hoặc Phòng Quản lý đô thị) theo quy định, theo đó </w:t>
      </w:r>
      <w:r w:rsidRPr="00B57C73">
        <w:rPr>
          <w:sz w:val="28"/>
          <w:szCs w:val="28"/>
          <w:lang w:val="vi-VN" w:eastAsia="zh-CN"/>
        </w:rPr>
        <w:t xml:space="preserve">Phòng </w:t>
      </w:r>
      <w:r w:rsidRPr="00B57C73">
        <w:rPr>
          <w:sz w:val="28"/>
          <w:szCs w:val="28"/>
          <w:lang w:eastAsia="zh-CN"/>
        </w:rPr>
        <w:t>Kinh tế và Hạ tầng (hoặc Phòng Quản lý đô thị) l</w:t>
      </w:r>
      <w:r w:rsidRPr="00B57C73">
        <w:rPr>
          <w:sz w:val="28"/>
          <w:szCs w:val="28"/>
          <w:lang w:val="vi-VN" w:eastAsia="zh-CN"/>
        </w:rPr>
        <w:t xml:space="preserve">à cơ quan chuyên môn thuộc </w:t>
      </w:r>
      <w:r w:rsidR="00B57C73" w:rsidRPr="00B57C73">
        <w:rPr>
          <w:sz w:val="28"/>
          <w:szCs w:val="28"/>
          <w:shd w:val="clear" w:color="auto" w:fill="FFFFFF"/>
          <w:lang w:eastAsia="zh-CN"/>
        </w:rPr>
        <w:t>UBND</w:t>
      </w:r>
      <w:r w:rsidRPr="00B57C73">
        <w:rPr>
          <w:sz w:val="28"/>
          <w:szCs w:val="28"/>
          <w:lang w:val="vi-VN" w:eastAsia="zh-CN"/>
        </w:rPr>
        <w:t xml:space="preserve"> cấp huyện thực hiện chức năng tham mưu, giúp </w:t>
      </w:r>
      <w:r w:rsidR="00B57C73">
        <w:rPr>
          <w:sz w:val="28"/>
          <w:szCs w:val="28"/>
          <w:shd w:val="clear" w:color="auto" w:fill="FFFFFF"/>
          <w:lang w:eastAsia="zh-CN"/>
        </w:rPr>
        <w:t>UBND</w:t>
      </w:r>
      <w:r w:rsidRPr="00B57C73">
        <w:rPr>
          <w:sz w:val="28"/>
          <w:szCs w:val="28"/>
          <w:lang w:val="vi-VN" w:eastAsia="zh-CN"/>
        </w:rPr>
        <w:t xml:space="preserve"> cấp huyện quản lý nhà nước về </w:t>
      </w:r>
      <w:r w:rsidR="00B57C73">
        <w:rPr>
          <w:sz w:val="28"/>
          <w:szCs w:val="28"/>
          <w:lang w:eastAsia="zh-CN"/>
        </w:rPr>
        <w:t>KTTT</w:t>
      </w:r>
      <w:r w:rsidRPr="00B57C73">
        <w:rPr>
          <w:sz w:val="28"/>
          <w:szCs w:val="28"/>
          <w:lang w:eastAsia="zh-CN"/>
        </w:rPr>
        <w:t xml:space="preserve"> thuộc lĩnh vực quản lý.</w:t>
      </w:r>
    </w:p>
    <w:p w:rsidR="004517D4" w:rsidRPr="00C61221" w:rsidRDefault="004517D4" w:rsidP="00C61221">
      <w:pPr>
        <w:spacing w:before="60" w:after="60"/>
        <w:ind w:firstLine="720"/>
        <w:jc w:val="both"/>
        <w:rPr>
          <w:i/>
          <w:sz w:val="28"/>
          <w:szCs w:val="28"/>
          <w:lang w:eastAsia="zh-CN"/>
        </w:rPr>
      </w:pPr>
      <w:r w:rsidRPr="00C61221">
        <w:rPr>
          <w:rFonts w:eastAsia="Calibri"/>
          <w:bCs/>
          <w:i/>
          <w:sz w:val="28"/>
          <w:szCs w:val="28"/>
          <w:lang w:val="nl-NL"/>
        </w:rPr>
        <w:t xml:space="preserve">* </w:t>
      </w:r>
      <w:r w:rsidRPr="00C61221">
        <w:rPr>
          <w:i/>
          <w:sz w:val="28"/>
          <w:szCs w:val="28"/>
          <w:lang w:eastAsia="zh-CN"/>
        </w:rPr>
        <w:t xml:space="preserve">Về bố trí cán bộ và thực hiện phân công quản lý nhà nước </w:t>
      </w:r>
      <w:r w:rsidRPr="00C61221">
        <w:rPr>
          <w:i/>
          <w:sz w:val="28"/>
          <w:szCs w:val="28"/>
          <w:lang w:val="vi-VN" w:eastAsia="zh-CN"/>
        </w:rPr>
        <w:t xml:space="preserve">về </w:t>
      </w:r>
      <w:r w:rsidR="00B57C73">
        <w:rPr>
          <w:i/>
          <w:sz w:val="28"/>
          <w:szCs w:val="28"/>
          <w:lang w:eastAsia="zh-CN"/>
        </w:rPr>
        <w:t>KTTT</w:t>
      </w:r>
      <w:r w:rsidRPr="00C61221">
        <w:rPr>
          <w:i/>
          <w:sz w:val="28"/>
          <w:szCs w:val="28"/>
          <w:lang w:eastAsia="zh-CN"/>
        </w:rPr>
        <w:t xml:space="preserve">, </w:t>
      </w:r>
      <w:r w:rsidR="00B57C73">
        <w:rPr>
          <w:i/>
          <w:sz w:val="28"/>
          <w:szCs w:val="28"/>
          <w:lang w:eastAsia="zh-CN"/>
        </w:rPr>
        <w:t>KTHT</w:t>
      </w:r>
      <w:r w:rsidRPr="00C61221">
        <w:rPr>
          <w:i/>
          <w:sz w:val="28"/>
          <w:szCs w:val="28"/>
          <w:lang w:eastAsia="zh-CN"/>
        </w:rPr>
        <w:t xml:space="preserve">, </w:t>
      </w:r>
      <w:r w:rsidR="00B57C73">
        <w:rPr>
          <w:i/>
          <w:sz w:val="28"/>
          <w:szCs w:val="28"/>
          <w:lang w:eastAsia="zh-CN"/>
        </w:rPr>
        <w:t>HTX</w:t>
      </w:r>
      <w:r w:rsidRPr="00C61221">
        <w:rPr>
          <w:i/>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Thực hiện Chỉ thị số 12/CT-TTg ngày 22/5/2018 của Thủ tướng Chính phủ về việc tiếp tục tăng cường công tác triển khai thi hành Luật </w:t>
      </w:r>
      <w:r w:rsidR="00B57C73">
        <w:rPr>
          <w:sz w:val="28"/>
          <w:szCs w:val="28"/>
          <w:lang w:eastAsia="zh-CN"/>
        </w:rPr>
        <w:t>HTX</w:t>
      </w:r>
      <w:r w:rsidRPr="00C61221">
        <w:rPr>
          <w:sz w:val="28"/>
          <w:szCs w:val="28"/>
          <w:lang w:eastAsia="zh-CN"/>
        </w:rPr>
        <w:t xml:space="preserve"> năm 2012, </w:t>
      </w:r>
      <w:r w:rsidR="00B57C73">
        <w:rPr>
          <w:sz w:val="28"/>
          <w:szCs w:val="28"/>
          <w:lang w:eastAsia="zh-CN"/>
        </w:rPr>
        <w:t>UBND</w:t>
      </w:r>
      <w:r w:rsidRPr="00C61221">
        <w:rPr>
          <w:sz w:val="28"/>
          <w:szCs w:val="28"/>
          <w:lang w:eastAsia="zh-CN"/>
        </w:rPr>
        <w:t xml:space="preserve"> Tỉnh có Công văn số 277/UBND-KTN ngày 19/7/2018, giao Sở Nội vụ chủ trì, phối hợp với Sở Kế hoạch và Đầu tư và các ngành, đơn vị liên quan đề xuất bố trí cán bộ chuyên trách hoặc kiêm nhiệm ở cấp tỉnh và cấp </w:t>
      </w:r>
      <w:r w:rsidRPr="00C61221">
        <w:rPr>
          <w:sz w:val="28"/>
          <w:szCs w:val="28"/>
          <w:lang w:eastAsia="zh-CN"/>
        </w:rPr>
        <w:lastRenderedPageBreak/>
        <w:t xml:space="preserve">huyện để thực hiện tốt chức năng, nhiệm vụ quản lý nhà nước về </w:t>
      </w:r>
      <w:r w:rsidR="00B57C73">
        <w:rPr>
          <w:sz w:val="28"/>
          <w:szCs w:val="28"/>
          <w:lang w:eastAsia="zh-CN"/>
        </w:rPr>
        <w:t>HTX</w:t>
      </w:r>
      <w:r w:rsidRPr="00C61221">
        <w:rPr>
          <w:sz w:val="28"/>
          <w:szCs w:val="28"/>
          <w:lang w:eastAsia="zh-CN"/>
        </w:rPr>
        <w:t xml:space="preserve">, bảo đảm đủ cán bộ thực hiện việc đăng ký </w:t>
      </w:r>
      <w:r w:rsidR="00B57C73">
        <w:rPr>
          <w:sz w:val="28"/>
          <w:szCs w:val="28"/>
          <w:lang w:eastAsia="zh-CN"/>
        </w:rPr>
        <w:t>HTX</w:t>
      </w:r>
      <w:r w:rsidRPr="00C61221">
        <w:rPr>
          <w:sz w:val="28"/>
          <w:szCs w:val="28"/>
          <w:lang w:eastAsia="zh-CN"/>
        </w:rPr>
        <w:t xml:space="preserve">, liên hiệp </w:t>
      </w:r>
      <w:r w:rsidR="00B57C73">
        <w:rPr>
          <w:sz w:val="28"/>
          <w:szCs w:val="28"/>
          <w:lang w:eastAsia="zh-CN"/>
        </w:rPr>
        <w:t>HTX</w:t>
      </w:r>
      <w:r w:rsidRPr="00C61221">
        <w:rPr>
          <w:sz w:val="28"/>
          <w:szCs w:val="28"/>
          <w:lang w:eastAsia="zh-CN"/>
        </w:rPr>
        <w:t xml:space="preserve">; chỉ đạo và thực hiện chế độ thông tin, báo cáo. Theo đó: </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Cấp tỉnh: </w:t>
      </w:r>
      <w:r w:rsidR="00B57C73">
        <w:rPr>
          <w:sz w:val="28"/>
          <w:szCs w:val="28"/>
          <w:lang w:eastAsia="zh-CN"/>
        </w:rPr>
        <w:t>b</w:t>
      </w:r>
      <w:r w:rsidRPr="00C61221">
        <w:rPr>
          <w:sz w:val="28"/>
          <w:szCs w:val="28"/>
          <w:lang w:eastAsia="zh-CN"/>
        </w:rPr>
        <w:t xml:space="preserve">iên chế công chức tham mưu thực hiện nhiệm vụ quản lý nhà nước về </w:t>
      </w:r>
      <w:r w:rsidR="00B57C73">
        <w:rPr>
          <w:sz w:val="28"/>
          <w:szCs w:val="28"/>
          <w:lang w:eastAsia="zh-CN"/>
        </w:rPr>
        <w:t>KTTT</w:t>
      </w:r>
      <w:r w:rsidRPr="00C61221">
        <w:rPr>
          <w:sz w:val="28"/>
          <w:szCs w:val="28"/>
          <w:lang w:eastAsia="zh-CN"/>
        </w:rPr>
        <w:t xml:space="preserve">, </w:t>
      </w:r>
      <w:r w:rsidR="00B57C73">
        <w:rPr>
          <w:sz w:val="28"/>
          <w:szCs w:val="28"/>
          <w:lang w:eastAsia="zh-CN"/>
        </w:rPr>
        <w:t>KTHT</w:t>
      </w:r>
      <w:r w:rsidRPr="00C61221">
        <w:rPr>
          <w:sz w:val="28"/>
          <w:szCs w:val="28"/>
          <w:lang w:eastAsia="zh-CN"/>
        </w:rPr>
        <w:t xml:space="preserve">, </w:t>
      </w:r>
      <w:r w:rsidR="00B57C73">
        <w:rPr>
          <w:sz w:val="28"/>
          <w:szCs w:val="28"/>
          <w:lang w:eastAsia="zh-CN"/>
        </w:rPr>
        <w:t>HTX</w:t>
      </w:r>
      <w:r w:rsidRPr="00C61221">
        <w:rPr>
          <w:sz w:val="28"/>
          <w:szCs w:val="28"/>
          <w:lang w:eastAsia="zh-CN"/>
        </w:rPr>
        <w:t xml:space="preserve"> được phân bổ và làm việc chuyên trách tại Phòng Đăng ký kinh doanh (thuộc Sở Kế hoạch và Đầu tư) thực hiện công tác quản lý nhà nước về </w:t>
      </w:r>
      <w:r w:rsidR="0007676C">
        <w:rPr>
          <w:sz w:val="28"/>
          <w:szCs w:val="28"/>
          <w:lang w:eastAsia="zh-CN"/>
        </w:rPr>
        <w:t>KTTT</w:t>
      </w:r>
      <w:r w:rsidRPr="00C61221">
        <w:rPr>
          <w:sz w:val="28"/>
          <w:szCs w:val="28"/>
          <w:lang w:eastAsia="zh-CN"/>
        </w:rPr>
        <w:t xml:space="preserve">, </w:t>
      </w:r>
      <w:r w:rsidR="0007676C">
        <w:rPr>
          <w:sz w:val="28"/>
          <w:szCs w:val="28"/>
          <w:lang w:eastAsia="zh-CN"/>
        </w:rPr>
        <w:t>HTX</w:t>
      </w:r>
      <w:r w:rsidRPr="00C61221">
        <w:rPr>
          <w:sz w:val="28"/>
          <w:szCs w:val="28"/>
          <w:lang w:eastAsia="zh-CN"/>
        </w:rPr>
        <w:t xml:space="preserve">; Phòng Quản lý vận tải, phương tiện và người lái (thuộc Sở Giao thông vận tải) thực hiện công tác quản lý nhà nước về </w:t>
      </w:r>
      <w:r w:rsidR="0007676C">
        <w:rPr>
          <w:sz w:val="28"/>
          <w:szCs w:val="28"/>
          <w:lang w:eastAsia="zh-CN"/>
        </w:rPr>
        <w:t>KTTT</w:t>
      </w:r>
      <w:r w:rsidRPr="00C61221">
        <w:rPr>
          <w:sz w:val="28"/>
          <w:szCs w:val="28"/>
          <w:lang w:eastAsia="zh-CN"/>
        </w:rPr>
        <w:t xml:space="preserve"> thuộc lĩnh vực quản lý của Sở; Chi cục </w:t>
      </w:r>
      <w:r w:rsidR="0007676C">
        <w:rPr>
          <w:sz w:val="28"/>
          <w:szCs w:val="28"/>
          <w:lang w:eastAsia="zh-CN"/>
        </w:rPr>
        <w:t>PTNT</w:t>
      </w:r>
      <w:r w:rsidRPr="00C61221">
        <w:rPr>
          <w:sz w:val="28"/>
          <w:szCs w:val="28"/>
          <w:lang w:eastAsia="zh-CN"/>
        </w:rPr>
        <w:t xml:space="preserve"> (thuộc Sở Nông nghiệp và </w:t>
      </w:r>
      <w:r w:rsidR="0007676C">
        <w:rPr>
          <w:sz w:val="28"/>
          <w:szCs w:val="28"/>
          <w:lang w:eastAsia="zh-CN"/>
        </w:rPr>
        <w:t>PTNT</w:t>
      </w:r>
      <w:r w:rsidRPr="00C61221">
        <w:rPr>
          <w:sz w:val="28"/>
          <w:szCs w:val="28"/>
          <w:lang w:eastAsia="zh-CN"/>
        </w:rPr>
        <w:t xml:space="preserve">) có Phòng </w:t>
      </w:r>
      <w:r w:rsidR="0007676C">
        <w:rPr>
          <w:sz w:val="28"/>
          <w:szCs w:val="28"/>
          <w:lang w:eastAsia="zh-CN"/>
        </w:rPr>
        <w:t>KTHT</w:t>
      </w:r>
      <w:r w:rsidRPr="00C61221">
        <w:rPr>
          <w:sz w:val="28"/>
          <w:szCs w:val="28"/>
          <w:lang w:eastAsia="zh-CN"/>
        </w:rPr>
        <w:t xml:space="preserve"> và Trang trại để thực hiện công tác quản lý nhà nước về kinh tế hợp tác, hợp tác xã trong nông nghiệp, nông thôn. Căn cứ vào khối lượng công việc, nhiệm vụ của từng ngành và số lượng biên chế được </w:t>
      </w:r>
      <w:r w:rsidR="0007676C">
        <w:rPr>
          <w:sz w:val="28"/>
          <w:szCs w:val="28"/>
          <w:lang w:eastAsia="zh-CN"/>
        </w:rPr>
        <w:t>UBND</w:t>
      </w:r>
      <w:r w:rsidRPr="00C61221">
        <w:rPr>
          <w:sz w:val="28"/>
          <w:szCs w:val="28"/>
          <w:lang w:eastAsia="zh-CN"/>
        </w:rPr>
        <w:t xml:space="preserve"> Tỉnh giao, Giám đốc các Sở phân bổ biên chế phù hợp.</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Cấp huyện: </w:t>
      </w:r>
      <w:r w:rsidR="0007676C" w:rsidRPr="0007676C">
        <w:rPr>
          <w:sz w:val="28"/>
          <w:szCs w:val="28"/>
          <w:lang w:eastAsia="zh-CN"/>
        </w:rPr>
        <w:t>p</w:t>
      </w:r>
      <w:r w:rsidRPr="0007676C">
        <w:rPr>
          <w:sz w:val="28"/>
          <w:szCs w:val="28"/>
          <w:lang w:eastAsia="zh-CN"/>
        </w:rPr>
        <w:t xml:space="preserve">hòng Tài chính - Kế hoạch, Phòng </w:t>
      </w:r>
      <w:r w:rsidRPr="0007676C">
        <w:rPr>
          <w:iCs/>
          <w:sz w:val="28"/>
          <w:szCs w:val="28"/>
          <w:lang w:eastAsia="zh-CN"/>
        </w:rPr>
        <w:t xml:space="preserve">Kinh tế và Hạ tầng (hoặc Phòng Quản lý đô thị) </w:t>
      </w:r>
      <w:r w:rsidRPr="0007676C">
        <w:rPr>
          <w:sz w:val="28"/>
          <w:szCs w:val="28"/>
          <w:lang w:eastAsia="zh-CN"/>
        </w:rPr>
        <w:t xml:space="preserve">cấp huyện bố trí 01 công chức chuyên trách quản lý </w:t>
      </w:r>
      <w:r w:rsidR="0007676C">
        <w:rPr>
          <w:sz w:val="28"/>
          <w:szCs w:val="28"/>
          <w:lang w:eastAsia="zh-CN"/>
        </w:rPr>
        <w:t>KTTT</w:t>
      </w:r>
      <w:r w:rsidRPr="0007676C">
        <w:rPr>
          <w:sz w:val="28"/>
          <w:szCs w:val="28"/>
          <w:lang w:val="vi-VN" w:eastAsia="zh-CN"/>
        </w:rPr>
        <w:t xml:space="preserve">, </w:t>
      </w:r>
      <w:r w:rsidR="0007676C">
        <w:rPr>
          <w:sz w:val="28"/>
          <w:szCs w:val="28"/>
          <w:lang w:eastAsia="zh-CN"/>
        </w:rPr>
        <w:t>HTX</w:t>
      </w:r>
      <w:r w:rsidRPr="0007676C">
        <w:rPr>
          <w:sz w:val="28"/>
          <w:szCs w:val="28"/>
          <w:lang w:eastAsia="zh-CN"/>
        </w:rPr>
        <w:t xml:space="preserve">. </w:t>
      </w:r>
      <w:r w:rsidRPr="0007676C">
        <w:rPr>
          <w:iCs/>
          <w:sz w:val="28"/>
          <w:szCs w:val="28"/>
          <w:lang w:eastAsia="zh-CN"/>
        </w:rPr>
        <w:t xml:space="preserve">Phòng Nông nghiệp và </w:t>
      </w:r>
      <w:r w:rsidR="0007676C">
        <w:rPr>
          <w:iCs/>
          <w:sz w:val="28"/>
          <w:szCs w:val="28"/>
          <w:lang w:eastAsia="zh-CN"/>
        </w:rPr>
        <w:t>PTNT</w:t>
      </w:r>
      <w:r w:rsidRPr="0007676C">
        <w:rPr>
          <w:iCs/>
          <w:sz w:val="28"/>
          <w:szCs w:val="28"/>
          <w:lang w:eastAsia="zh-CN"/>
        </w:rPr>
        <w:t xml:space="preserve"> (hoặc Phòng Kinh tế) cấp huyện bố trí công chức kiêm nhiệm tham mưu quản lý nhà nước về </w:t>
      </w:r>
      <w:r w:rsidR="0007676C">
        <w:rPr>
          <w:iCs/>
          <w:sz w:val="28"/>
          <w:szCs w:val="28"/>
          <w:lang w:eastAsia="zh-CN"/>
        </w:rPr>
        <w:t>KT</w:t>
      </w:r>
      <w:r w:rsidR="00FC0EA9">
        <w:rPr>
          <w:iCs/>
          <w:sz w:val="28"/>
          <w:szCs w:val="28"/>
          <w:lang w:eastAsia="zh-CN"/>
        </w:rPr>
        <w:t>HT</w:t>
      </w:r>
      <w:r w:rsidR="0007676C">
        <w:rPr>
          <w:iCs/>
          <w:sz w:val="28"/>
          <w:szCs w:val="28"/>
          <w:lang w:eastAsia="zh-CN"/>
        </w:rPr>
        <w:t>, HTX</w:t>
      </w:r>
      <w:r w:rsidRPr="0007676C">
        <w:rPr>
          <w:iCs/>
          <w:sz w:val="28"/>
          <w:szCs w:val="28"/>
          <w:lang w:eastAsia="zh-CN"/>
        </w:rPr>
        <w:t xml:space="preserve">, </w:t>
      </w:r>
      <w:r w:rsidR="00FC0EA9">
        <w:rPr>
          <w:iCs/>
          <w:sz w:val="28"/>
          <w:szCs w:val="28"/>
          <w:lang w:eastAsia="zh-CN"/>
        </w:rPr>
        <w:t xml:space="preserve">đồng thời </w:t>
      </w:r>
      <w:r w:rsidRPr="0007676C">
        <w:rPr>
          <w:iCs/>
          <w:sz w:val="28"/>
          <w:szCs w:val="28"/>
          <w:lang w:eastAsia="zh-CN"/>
        </w:rPr>
        <w:t xml:space="preserve">phụ trách các lĩnh vực khác thuộc </w:t>
      </w:r>
      <w:r w:rsidR="0007676C">
        <w:rPr>
          <w:iCs/>
          <w:sz w:val="28"/>
          <w:szCs w:val="28"/>
          <w:lang w:eastAsia="zh-CN"/>
        </w:rPr>
        <w:t>lĩnh vực</w:t>
      </w:r>
      <w:r w:rsidRPr="0007676C">
        <w:rPr>
          <w:iCs/>
          <w:sz w:val="28"/>
          <w:szCs w:val="28"/>
          <w:lang w:eastAsia="zh-CN"/>
        </w:rPr>
        <w:t xml:space="preserve"> nông nghiệp và </w:t>
      </w:r>
      <w:r w:rsidR="0007676C">
        <w:rPr>
          <w:iCs/>
          <w:sz w:val="28"/>
          <w:szCs w:val="28"/>
          <w:lang w:eastAsia="zh-CN"/>
        </w:rPr>
        <w:t>PTNT</w:t>
      </w:r>
      <w:r w:rsidRPr="0007676C">
        <w:rPr>
          <w:iCs/>
          <w:sz w:val="28"/>
          <w:szCs w:val="28"/>
          <w:lang w:eastAsia="zh-CN"/>
        </w:rPr>
        <w:t>.</w:t>
      </w:r>
      <w:r w:rsidRPr="00C61221">
        <w:rPr>
          <w:i/>
          <w:iCs/>
          <w:sz w:val="28"/>
          <w:szCs w:val="28"/>
          <w:lang w:eastAsia="zh-CN"/>
        </w:rPr>
        <w:t xml:space="preserve"> </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w:t>
      </w:r>
      <w:r w:rsidRPr="00C61221">
        <w:rPr>
          <w:rFonts w:eastAsia="Calibri"/>
          <w:i/>
          <w:sz w:val="28"/>
          <w:szCs w:val="28"/>
          <w:lang w:val="zu-ZA" w:eastAsia="zh-CN"/>
        </w:rPr>
        <w:t xml:space="preserve"> </w:t>
      </w:r>
      <w:r w:rsidRPr="0007676C">
        <w:rPr>
          <w:rFonts w:eastAsia="Calibri"/>
          <w:sz w:val="28"/>
          <w:szCs w:val="28"/>
          <w:lang w:val="zu-ZA" w:eastAsia="zh-CN"/>
        </w:rPr>
        <w:t>Ở cấp xã</w:t>
      </w:r>
      <w:r w:rsidRPr="0007676C">
        <w:rPr>
          <w:rFonts w:eastAsia="Calibri"/>
          <w:sz w:val="28"/>
          <w:szCs w:val="28"/>
          <w:lang w:val="vi-VN" w:eastAsia="zh-CN"/>
        </w:rPr>
        <w:t>:</w:t>
      </w:r>
      <w:r w:rsidRPr="00C61221">
        <w:rPr>
          <w:rFonts w:eastAsia="Calibri"/>
          <w:sz w:val="28"/>
          <w:szCs w:val="28"/>
          <w:lang w:val="zu-ZA" w:eastAsia="zh-CN"/>
        </w:rPr>
        <w:t xml:space="preserve"> có</w:t>
      </w:r>
      <w:r w:rsidRPr="00C61221">
        <w:rPr>
          <w:rFonts w:eastAsia="Calibri"/>
          <w:sz w:val="28"/>
          <w:szCs w:val="28"/>
          <w:lang w:val="vi-VN" w:eastAsia="zh-CN"/>
        </w:rPr>
        <w:t xml:space="preserve"> phân công</w:t>
      </w:r>
      <w:r w:rsidRPr="00C61221">
        <w:rPr>
          <w:rFonts w:eastAsia="Calibri"/>
          <w:sz w:val="28"/>
          <w:szCs w:val="28"/>
          <w:lang w:val="zu-ZA" w:eastAsia="zh-CN"/>
        </w:rPr>
        <w:t xml:space="preserve"> người kiêm nhiệm.</w:t>
      </w:r>
    </w:p>
    <w:p w:rsidR="004517D4" w:rsidRPr="00FC0EA9" w:rsidRDefault="004517D4" w:rsidP="00C61221">
      <w:pPr>
        <w:spacing w:before="60" w:after="60"/>
        <w:ind w:firstLine="720"/>
        <w:jc w:val="both"/>
        <w:rPr>
          <w:i/>
          <w:spacing w:val="-4"/>
          <w:sz w:val="28"/>
          <w:szCs w:val="28"/>
          <w:lang w:val="nl-NL" w:eastAsia="zh-CN"/>
        </w:rPr>
      </w:pPr>
      <w:r w:rsidRPr="00FC0EA9">
        <w:rPr>
          <w:i/>
          <w:spacing w:val="-4"/>
          <w:sz w:val="28"/>
          <w:szCs w:val="28"/>
          <w:lang w:eastAsia="zh-CN"/>
        </w:rPr>
        <w:t xml:space="preserve">2.2. Công tác </w:t>
      </w:r>
      <w:r w:rsidRPr="00FC0EA9">
        <w:rPr>
          <w:i/>
          <w:spacing w:val="-4"/>
          <w:sz w:val="28"/>
          <w:szCs w:val="28"/>
          <w:lang w:val="nl-NL" w:eastAsia="zh-CN"/>
        </w:rPr>
        <w:t>thành lập, kiện toàn Ban chỉ đạo Đổi mới phát triển KTTT, HTX theo đúng tinh thần Nghị quyết số 134/NQ-</w:t>
      </w:r>
      <w:r w:rsidR="00FC0EA9" w:rsidRPr="00FC0EA9">
        <w:rPr>
          <w:i/>
          <w:spacing w:val="-4"/>
          <w:sz w:val="28"/>
          <w:szCs w:val="28"/>
          <w:lang w:val="nl-NL" w:eastAsia="zh-CN"/>
        </w:rPr>
        <w:t>CP ngày 25/5/2020 của Chính phủ</w:t>
      </w:r>
    </w:p>
    <w:p w:rsidR="004517D4" w:rsidRPr="00C61221" w:rsidRDefault="00B52003" w:rsidP="00C61221">
      <w:pPr>
        <w:spacing w:before="60" w:after="60"/>
        <w:ind w:firstLine="720"/>
        <w:jc w:val="both"/>
        <w:rPr>
          <w:iCs/>
          <w:sz w:val="28"/>
          <w:szCs w:val="28"/>
          <w:lang w:eastAsia="zh-CN"/>
        </w:rPr>
      </w:pPr>
      <w:r>
        <w:rPr>
          <w:iCs/>
          <w:sz w:val="28"/>
          <w:szCs w:val="28"/>
          <w:lang w:eastAsia="zh-CN"/>
        </w:rPr>
        <w:t>Thực hiện</w:t>
      </w:r>
      <w:r w:rsidR="004517D4" w:rsidRPr="00C61221">
        <w:rPr>
          <w:iCs/>
          <w:sz w:val="28"/>
          <w:szCs w:val="28"/>
          <w:lang w:eastAsia="zh-CN"/>
        </w:rPr>
        <w:t xml:space="preserve"> </w:t>
      </w:r>
      <w:r w:rsidR="00FC0EA9" w:rsidRPr="00FC0EA9">
        <w:rPr>
          <w:iCs/>
          <w:sz w:val="28"/>
          <w:szCs w:val="28"/>
          <w:lang w:eastAsia="zh-CN"/>
        </w:rPr>
        <w:t>Nghị quyết số 13-NQ/TW</w:t>
      </w:r>
      <w:r w:rsidR="00FC0EA9">
        <w:rPr>
          <w:iCs/>
          <w:sz w:val="28"/>
          <w:szCs w:val="28"/>
          <w:lang w:eastAsia="zh-CN"/>
        </w:rPr>
        <w:t xml:space="preserve"> </w:t>
      </w:r>
      <w:r>
        <w:rPr>
          <w:iCs/>
          <w:sz w:val="28"/>
          <w:szCs w:val="28"/>
          <w:lang w:eastAsia="zh-CN"/>
        </w:rPr>
        <w:t>của</w:t>
      </w:r>
      <w:r w:rsidR="004517D4" w:rsidRPr="00C61221">
        <w:rPr>
          <w:iCs/>
          <w:sz w:val="28"/>
          <w:szCs w:val="28"/>
          <w:lang w:eastAsia="zh-CN"/>
        </w:rPr>
        <w:t xml:space="preserve"> Ban Chấp hành Trung ương Đảng khóa IX về tiếp tục đổi mới, phát triển và nâng cao hiệu quả </w:t>
      </w:r>
      <w:r w:rsidR="00FC0EA9">
        <w:rPr>
          <w:iCs/>
          <w:sz w:val="28"/>
          <w:szCs w:val="28"/>
          <w:lang w:eastAsia="zh-CN"/>
        </w:rPr>
        <w:t>KTTT,</w:t>
      </w:r>
      <w:r w:rsidR="004517D4" w:rsidRPr="00C61221">
        <w:rPr>
          <w:iCs/>
          <w:sz w:val="28"/>
          <w:szCs w:val="28"/>
          <w:lang w:eastAsia="zh-CN"/>
        </w:rPr>
        <w:t xml:space="preserve"> Ban Thường vụ Tỉnh </w:t>
      </w:r>
      <w:r w:rsidR="00015662">
        <w:rPr>
          <w:iCs/>
          <w:sz w:val="28"/>
          <w:szCs w:val="28"/>
          <w:lang w:eastAsia="zh-CN"/>
        </w:rPr>
        <w:t>uỷ</w:t>
      </w:r>
      <w:r w:rsidR="004517D4" w:rsidRPr="00C61221">
        <w:rPr>
          <w:iCs/>
          <w:sz w:val="28"/>
          <w:szCs w:val="28"/>
          <w:lang w:eastAsia="zh-CN"/>
        </w:rPr>
        <w:t xml:space="preserve"> ban hành Quyết định số 379-QĐ/TU ngày 27/12/2011 về thành lập Ban Chỉ đạo phát triển </w:t>
      </w:r>
      <w:r>
        <w:rPr>
          <w:iCs/>
          <w:sz w:val="28"/>
          <w:szCs w:val="28"/>
          <w:lang w:eastAsia="zh-CN"/>
        </w:rPr>
        <w:t>KTTT</w:t>
      </w:r>
      <w:r w:rsidR="004517D4" w:rsidRPr="00C61221">
        <w:rPr>
          <w:iCs/>
          <w:sz w:val="28"/>
          <w:szCs w:val="28"/>
          <w:lang w:eastAsia="zh-CN"/>
        </w:rPr>
        <w:t xml:space="preserve"> Tỉnh và phân công 01 Phó Chủ tịch </w:t>
      </w:r>
      <w:r>
        <w:rPr>
          <w:iCs/>
          <w:sz w:val="28"/>
          <w:szCs w:val="28"/>
          <w:lang w:eastAsia="zh-CN"/>
        </w:rPr>
        <w:t>UBND</w:t>
      </w:r>
      <w:r w:rsidR="004517D4" w:rsidRPr="00C61221">
        <w:rPr>
          <w:iCs/>
          <w:sz w:val="28"/>
          <w:szCs w:val="28"/>
          <w:lang w:eastAsia="zh-CN"/>
        </w:rPr>
        <w:t xml:space="preserve"> Tỉnh làm Trưởng ban Ban Chỉ đạo.</w:t>
      </w:r>
    </w:p>
    <w:p w:rsidR="004517D4" w:rsidRPr="00C61221" w:rsidRDefault="004517D4" w:rsidP="00C61221">
      <w:pPr>
        <w:spacing w:before="60" w:after="60"/>
        <w:ind w:firstLine="720"/>
        <w:jc w:val="both"/>
        <w:rPr>
          <w:rFonts w:ascii="Calibri" w:eastAsia="Calibri" w:hAnsi="Calibri"/>
          <w:sz w:val="22"/>
          <w:szCs w:val="22"/>
          <w:lang w:eastAsia="zh-CN"/>
        </w:rPr>
      </w:pPr>
      <w:r w:rsidRPr="00C61221">
        <w:rPr>
          <w:iCs/>
          <w:sz w:val="28"/>
          <w:szCs w:val="28"/>
          <w:lang w:eastAsia="zh-CN"/>
        </w:rPr>
        <w:t xml:space="preserve">Ngày 22/3/2017, Thủ tướng Chính phủ ban hành Quyết định số 352/QĐ-TTg thành lập Ban Chỉ đạo đổi mới, phát triển </w:t>
      </w:r>
      <w:r w:rsidR="00B52003">
        <w:rPr>
          <w:iCs/>
          <w:sz w:val="28"/>
          <w:szCs w:val="28"/>
          <w:lang w:eastAsia="zh-CN"/>
        </w:rPr>
        <w:t>KTTT</w:t>
      </w:r>
      <w:r w:rsidRPr="00C61221">
        <w:rPr>
          <w:iCs/>
          <w:sz w:val="28"/>
          <w:szCs w:val="28"/>
          <w:lang w:eastAsia="zh-CN"/>
        </w:rPr>
        <w:t xml:space="preserve">, </w:t>
      </w:r>
      <w:r w:rsidR="00B52003">
        <w:rPr>
          <w:iCs/>
          <w:sz w:val="28"/>
          <w:szCs w:val="28"/>
          <w:lang w:eastAsia="zh-CN"/>
        </w:rPr>
        <w:t>HTX</w:t>
      </w:r>
      <w:r w:rsidRPr="00C61221">
        <w:rPr>
          <w:iCs/>
          <w:sz w:val="28"/>
          <w:szCs w:val="28"/>
          <w:lang w:eastAsia="zh-CN"/>
        </w:rPr>
        <w:t xml:space="preserve">. Để bảo đảm sự thống nhất về hệ thống chỉ đạo và phù hợp với Quyết định số 352/QĐ-TTg ngày 22/3/2017 của Thủ tướng Chính phủ, Ban cán sự đảng </w:t>
      </w:r>
      <w:r w:rsidR="00B52003">
        <w:rPr>
          <w:iCs/>
          <w:sz w:val="28"/>
          <w:szCs w:val="28"/>
          <w:lang w:eastAsia="zh-CN"/>
        </w:rPr>
        <w:t>UBND</w:t>
      </w:r>
      <w:r w:rsidRPr="00C61221">
        <w:rPr>
          <w:iCs/>
          <w:sz w:val="28"/>
          <w:szCs w:val="28"/>
          <w:lang w:eastAsia="zh-CN"/>
        </w:rPr>
        <w:t xml:space="preserve"> Tỉnh </w:t>
      </w:r>
      <w:r w:rsidR="00B52003">
        <w:rPr>
          <w:iCs/>
          <w:sz w:val="28"/>
          <w:szCs w:val="28"/>
          <w:lang w:eastAsia="zh-CN"/>
        </w:rPr>
        <w:t xml:space="preserve">đã </w:t>
      </w:r>
      <w:r w:rsidRPr="00C61221">
        <w:rPr>
          <w:iCs/>
          <w:sz w:val="28"/>
          <w:szCs w:val="28"/>
          <w:lang w:eastAsia="zh-CN"/>
        </w:rPr>
        <w:t xml:space="preserve">có Tờ trình số 39-TTr/BCS ngày 11/8/2017 trình Ban Thường vụ Tỉnh </w:t>
      </w:r>
      <w:r w:rsidR="00015662">
        <w:rPr>
          <w:iCs/>
          <w:sz w:val="28"/>
          <w:szCs w:val="28"/>
          <w:lang w:eastAsia="zh-CN"/>
        </w:rPr>
        <w:t>uỷ</w:t>
      </w:r>
      <w:r w:rsidRPr="00C61221">
        <w:rPr>
          <w:iCs/>
          <w:sz w:val="28"/>
          <w:szCs w:val="28"/>
          <w:lang w:eastAsia="zh-CN"/>
        </w:rPr>
        <w:t xml:space="preserve"> về giải thể Ban Chỉ đạo phát triển </w:t>
      </w:r>
      <w:r w:rsidR="00B52003">
        <w:rPr>
          <w:iCs/>
          <w:sz w:val="28"/>
          <w:szCs w:val="28"/>
          <w:lang w:eastAsia="zh-CN"/>
        </w:rPr>
        <w:t>KTTT</w:t>
      </w:r>
      <w:r w:rsidRPr="00C61221">
        <w:rPr>
          <w:iCs/>
          <w:sz w:val="28"/>
          <w:szCs w:val="28"/>
          <w:lang w:eastAsia="zh-CN"/>
        </w:rPr>
        <w:t xml:space="preserve"> của Tỉnh </w:t>
      </w:r>
      <w:r w:rsidR="00015662">
        <w:rPr>
          <w:iCs/>
          <w:sz w:val="28"/>
          <w:szCs w:val="28"/>
          <w:lang w:eastAsia="zh-CN"/>
        </w:rPr>
        <w:t>uỷ</w:t>
      </w:r>
      <w:r w:rsidRPr="00C61221">
        <w:rPr>
          <w:iCs/>
          <w:sz w:val="28"/>
          <w:szCs w:val="28"/>
          <w:lang w:eastAsia="zh-CN"/>
        </w:rPr>
        <w:t xml:space="preserve"> và giao nhiệm vụ cho </w:t>
      </w:r>
      <w:r w:rsidR="00B52003">
        <w:rPr>
          <w:iCs/>
          <w:sz w:val="28"/>
          <w:szCs w:val="28"/>
          <w:lang w:eastAsia="zh-CN"/>
        </w:rPr>
        <w:t>UBND</w:t>
      </w:r>
      <w:r w:rsidRPr="00C61221">
        <w:rPr>
          <w:iCs/>
          <w:sz w:val="28"/>
          <w:szCs w:val="28"/>
          <w:lang w:eastAsia="zh-CN"/>
        </w:rPr>
        <w:t xml:space="preserve"> Tỉnh thực hiện. Theo đó, </w:t>
      </w:r>
      <w:r w:rsidRPr="00C61221">
        <w:rPr>
          <w:rFonts w:eastAsia="Calibri"/>
          <w:sz w:val="28"/>
          <w:szCs w:val="28"/>
          <w:lang w:eastAsia="zh-CN"/>
        </w:rPr>
        <w:t xml:space="preserve">ngày 22/8/2017, Ban Thường vụ Tỉnh </w:t>
      </w:r>
      <w:r w:rsidR="00015662">
        <w:rPr>
          <w:rFonts w:eastAsia="Calibri"/>
          <w:sz w:val="28"/>
          <w:szCs w:val="28"/>
          <w:lang w:eastAsia="zh-CN"/>
        </w:rPr>
        <w:t>uỷ</w:t>
      </w:r>
      <w:r w:rsidRPr="00C61221">
        <w:rPr>
          <w:rFonts w:eastAsia="Calibri"/>
          <w:sz w:val="28"/>
          <w:szCs w:val="28"/>
          <w:lang w:eastAsia="zh-CN"/>
        </w:rPr>
        <w:t xml:space="preserve"> có Thông báo số</w:t>
      </w:r>
      <w:r w:rsidRPr="00C61221">
        <w:rPr>
          <w:rFonts w:ascii="Calibri" w:eastAsia="Calibri" w:hAnsi="Calibri"/>
          <w:sz w:val="28"/>
          <w:szCs w:val="28"/>
          <w:lang w:eastAsia="zh-CN"/>
        </w:rPr>
        <w:t xml:space="preserve"> </w:t>
      </w:r>
      <w:r w:rsidRPr="00C61221">
        <w:rPr>
          <w:rFonts w:eastAsia="Calibri"/>
          <w:sz w:val="28"/>
          <w:szCs w:val="28"/>
          <w:lang w:eastAsia="zh-CN"/>
        </w:rPr>
        <w:t xml:space="preserve">643-TB/TU thống nhất giải thể Ban Chỉ đạo phát triển </w:t>
      </w:r>
      <w:r w:rsidR="00B52003">
        <w:rPr>
          <w:rFonts w:eastAsia="Calibri"/>
          <w:sz w:val="28"/>
          <w:szCs w:val="28"/>
          <w:lang w:eastAsia="zh-CN"/>
        </w:rPr>
        <w:t>KTTT</w:t>
      </w:r>
      <w:r w:rsidRPr="00C61221">
        <w:rPr>
          <w:rFonts w:eastAsia="Calibri"/>
          <w:sz w:val="28"/>
          <w:szCs w:val="28"/>
          <w:lang w:eastAsia="zh-CN"/>
        </w:rPr>
        <w:t xml:space="preserve"> và</w:t>
      </w:r>
      <w:r w:rsidRPr="00C61221">
        <w:rPr>
          <w:rFonts w:ascii="Calibri" w:eastAsia="Calibri" w:hAnsi="Calibri"/>
          <w:sz w:val="28"/>
          <w:szCs w:val="28"/>
          <w:lang w:eastAsia="zh-CN"/>
        </w:rPr>
        <w:t xml:space="preserve"> </w:t>
      </w:r>
      <w:r w:rsidRPr="00C61221">
        <w:rPr>
          <w:rFonts w:eastAsia="Calibri"/>
          <w:sz w:val="28"/>
          <w:szCs w:val="28"/>
          <w:lang w:eastAsia="zh-CN"/>
        </w:rPr>
        <w:t xml:space="preserve">giao Ban Cán sự đảng </w:t>
      </w:r>
      <w:r w:rsidR="00B52003">
        <w:rPr>
          <w:rFonts w:eastAsia="Calibri"/>
          <w:sz w:val="28"/>
          <w:szCs w:val="28"/>
          <w:lang w:eastAsia="zh-CN"/>
        </w:rPr>
        <w:t>UBND</w:t>
      </w:r>
      <w:r w:rsidRPr="00C61221">
        <w:rPr>
          <w:rFonts w:eastAsia="Calibri"/>
          <w:sz w:val="28"/>
          <w:szCs w:val="28"/>
          <w:lang w:eastAsia="zh-CN"/>
        </w:rPr>
        <w:t xml:space="preserve"> Tỉnh chỉ đạo </w:t>
      </w:r>
      <w:r w:rsidR="00B52003">
        <w:rPr>
          <w:rFonts w:eastAsia="Calibri"/>
          <w:sz w:val="28"/>
          <w:szCs w:val="28"/>
          <w:lang w:eastAsia="zh-CN"/>
        </w:rPr>
        <w:t>UBND</w:t>
      </w:r>
      <w:r w:rsidRPr="00C61221">
        <w:rPr>
          <w:rFonts w:eastAsia="Calibri"/>
          <w:sz w:val="28"/>
          <w:szCs w:val="28"/>
          <w:lang w:eastAsia="zh-CN"/>
        </w:rPr>
        <w:t xml:space="preserve"> Tỉnh nghiên cứu thành lập Ban Chỉ đạo đổi mới, phát triển </w:t>
      </w:r>
      <w:r w:rsidR="00B52003">
        <w:rPr>
          <w:rFonts w:eastAsia="Calibri"/>
          <w:sz w:val="28"/>
          <w:szCs w:val="28"/>
          <w:lang w:eastAsia="zh-CN"/>
        </w:rPr>
        <w:t>KTTT</w:t>
      </w:r>
      <w:r w:rsidRPr="00C61221">
        <w:rPr>
          <w:rFonts w:eastAsia="Calibri"/>
          <w:sz w:val="28"/>
          <w:szCs w:val="28"/>
          <w:lang w:eastAsia="zh-CN"/>
        </w:rPr>
        <w:t xml:space="preserve">, </w:t>
      </w:r>
      <w:r w:rsidR="00B52003">
        <w:rPr>
          <w:rFonts w:eastAsia="Calibri"/>
          <w:sz w:val="28"/>
          <w:szCs w:val="28"/>
          <w:lang w:eastAsia="zh-CN"/>
        </w:rPr>
        <w:t>HTX</w:t>
      </w:r>
      <w:r w:rsidRPr="00C61221">
        <w:rPr>
          <w:rFonts w:eastAsia="Calibri"/>
          <w:sz w:val="28"/>
          <w:szCs w:val="28"/>
          <w:lang w:eastAsia="zh-CN"/>
        </w:rPr>
        <w:t>.</w:t>
      </w:r>
      <w:r w:rsidRPr="00C61221">
        <w:rPr>
          <w:rFonts w:ascii="Calibri" w:eastAsia="Calibri" w:hAnsi="Calibri"/>
          <w:sz w:val="22"/>
          <w:szCs w:val="22"/>
          <w:lang w:eastAsia="zh-CN"/>
        </w:rPr>
        <w:t xml:space="preserve"> </w:t>
      </w:r>
    </w:p>
    <w:p w:rsidR="004517D4" w:rsidRPr="00C61221" w:rsidRDefault="004517D4" w:rsidP="00C61221">
      <w:pPr>
        <w:spacing w:before="60" w:after="60"/>
        <w:ind w:firstLine="720"/>
        <w:jc w:val="both"/>
        <w:rPr>
          <w:sz w:val="28"/>
          <w:szCs w:val="28"/>
          <w:lang w:eastAsia="zh-CN"/>
        </w:rPr>
      </w:pPr>
      <w:r w:rsidRPr="00C61221">
        <w:rPr>
          <w:iCs/>
          <w:sz w:val="28"/>
          <w:szCs w:val="28"/>
          <w:lang w:eastAsia="zh-CN"/>
        </w:rPr>
        <w:t xml:space="preserve">Nhằm thực hiện tinh gọn tổ chức bộ máy theo tinh thần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w:t>
      </w:r>
      <w:r w:rsidR="00B52003">
        <w:rPr>
          <w:iCs/>
          <w:sz w:val="28"/>
          <w:szCs w:val="28"/>
          <w:lang w:eastAsia="zh-CN"/>
        </w:rPr>
        <w:t>UBND</w:t>
      </w:r>
      <w:r w:rsidRPr="00C61221">
        <w:rPr>
          <w:iCs/>
          <w:sz w:val="28"/>
          <w:szCs w:val="28"/>
          <w:lang w:eastAsia="zh-CN"/>
        </w:rPr>
        <w:t xml:space="preserve"> Tỉnh không thành lập riêng Ban Chỉ đạo thực hiện nhiệm vụ </w:t>
      </w:r>
      <w:r w:rsidRPr="00C61221">
        <w:rPr>
          <w:rFonts w:eastAsia="Calibri"/>
          <w:sz w:val="28"/>
          <w:szCs w:val="28"/>
          <w:lang w:eastAsia="zh-CN"/>
        </w:rPr>
        <w:t xml:space="preserve">đổi mới, phát triển </w:t>
      </w:r>
      <w:r w:rsidR="00B52003">
        <w:rPr>
          <w:rFonts w:eastAsia="Calibri"/>
          <w:sz w:val="28"/>
          <w:szCs w:val="28"/>
          <w:lang w:eastAsia="zh-CN"/>
        </w:rPr>
        <w:t>KTTT</w:t>
      </w:r>
      <w:r w:rsidRPr="00C61221">
        <w:rPr>
          <w:rFonts w:eastAsia="Calibri"/>
          <w:sz w:val="28"/>
          <w:szCs w:val="28"/>
          <w:lang w:eastAsia="zh-CN"/>
        </w:rPr>
        <w:t xml:space="preserve">, </w:t>
      </w:r>
      <w:r w:rsidR="00B52003">
        <w:rPr>
          <w:rFonts w:eastAsia="Calibri"/>
          <w:sz w:val="28"/>
          <w:szCs w:val="28"/>
          <w:lang w:eastAsia="zh-CN"/>
        </w:rPr>
        <w:t>HTX</w:t>
      </w:r>
      <w:r w:rsidRPr="00C61221">
        <w:rPr>
          <w:rFonts w:eastAsia="Calibri"/>
          <w:sz w:val="28"/>
          <w:szCs w:val="28"/>
          <w:lang w:eastAsia="zh-CN"/>
        </w:rPr>
        <w:t xml:space="preserve"> mà giao nhiệm vụ này cho Ban Chỉ đạo </w:t>
      </w:r>
      <w:r w:rsidRPr="00C61221">
        <w:rPr>
          <w:bCs/>
          <w:sz w:val="28"/>
          <w:szCs w:val="28"/>
          <w:lang w:eastAsia="zh-CN"/>
        </w:rPr>
        <w:t xml:space="preserve">Chương trình </w:t>
      </w:r>
      <w:r w:rsidR="00B52003">
        <w:rPr>
          <w:bCs/>
          <w:sz w:val="28"/>
          <w:szCs w:val="28"/>
          <w:lang w:eastAsia="zh-CN"/>
        </w:rPr>
        <w:t>M</w:t>
      </w:r>
      <w:r w:rsidRPr="00C61221">
        <w:rPr>
          <w:bCs/>
          <w:sz w:val="28"/>
          <w:szCs w:val="28"/>
          <w:lang w:eastAsia="zh-CN"/>
        </w:rPr>
        <w:t xml:space="preserve">ục tiêu </w:t>
      </w:r>
      <w:r w:rsidR="00B52003">
        <w:rPr>
          <w:bCs/>
          <w:sz w:val="28"/>
          <w:szCs w:val="28"/>
          <w:lang w:eastAsia="zh-CN"/>
        </w:rPr>
        <w:t>Q</w:t>
      </w:r>
      <w:r w:rsidRPr="00C61221">
        <w:rPr>
          <w:bCs/>
          <w:sz w:val="28"/>
          <w:szCs w:val="28"/>
          <w:lang w:eastAsia="zh-CN"/>
        </w:rPr>
        <w:t xml:space="preserve">uốc gia </w:t>
      </w:r>
      <w:r w:rsidR="00B52003">
        <w:rPr>
          <w:bCs/>
          <w:sz w:val="28"/>
          <w:szCs w:val="28"/>
          <w:lang w:eastAsia="zh-CN"/>
        </w:rPr>
        <w:t>X</w:t>
      </w:r>
      <w:r w:rsidRPr="00C61221">
        <w:rPr>
          <w:bCs/>
          <w:sz w:val="28"/>
          <w:szCs w:val="28"/>
          <w:lang w:eastAsia="zh-CN"/>
        </w:rPr>
        <w:t xml:space="preserve">ây dựng </w:t>
      </w:r>
      <w:r w:rsidRPr="00C61221">
        <w:rPr>
          <w:bCs/>
          <w:sz w:val="28"/>
          <w:szCs w:val="28"/>
          <w:lang w:eastAsia="zh-CN"/>
        </w:rPr>
        <w:lastRenderedPageBreak/>
        <w:t xml:space="preserve">nông thôn mới và Tái cơ cấu ngành </w:t>
      </w:r>
      <w:r w:rsidR="00B52003">
        <w:rPr>
          <w:bCs/>
          <w:sz w:val="28"/>
          <w:szCs w:val="28"/>
          <w:lang w:eastAsia="zh-CN"/>
        </w:rPr>
        <w:t>N</w:t>
      </w:r>
      <w:r w:rsidRPr="00C61221">
        <w:rPr>
          <w:bCs/>
          <w:sz w:val="28"/>
          <w:szCs w:val="28"/>
          <w:lang w:eastAsia="zh-CN"/>
        </w:rPr>
        <w:t>ông nghiệp tỉnh Đồng Tháp giai đoạn 2016 - 2020 thực hiện nhiệm vụ</w:t>
      </w:r>
      <w:r w:rsidRPr="00C61221">
        <w:rPr>
          <w:bCs/>
          <w:sz w:val="28"/>
          <w:szCs w:val="28"/>
          <w:vertAlign w:val="superscript"/>
          <w:lang w:eastAsia="zh-CN"/>
        </w:rPr>
        <w:footnoteReference w:id="6"/>
      </w:r>
      <w:r w:rsidRPr="00C61221">
        <w:rPr>
          <w:bCs/>
          <w:sz w:val="28"/>
          <w:szCs w:val="28"/>
          <w:lang w:eastAsia="zh-CN"/>
        </w:rPr>
        <w:t xml:space="preserve">. </w:t>
      </w:r>
    </w:p>
    <w:p w:rsidR="004517D4" w:rsidRPr="00C61221" w:rsidRDefault="004517D4" w:rsidP="00C61221">
      <w:pPr>
        <w:spacing w:before="60" w:after="60"/>
        <w:ind w:firstLine="720"/>
        <w:jc w:val="both"/>
        <w:rPr>
          <w:sz w:val="28"/>
          <w:szCs w:val="28"/>
          <w:lang w:eastAsia="zh-CN"/>
        </w:rPr>
      </w:pPr>
      <w:r w:rsidRPr="00C61221">
        <w:rPr>
          <w:iCs/>
          <w:sz w:val="28"/>
          <w:szCs w:val="28"/>
          <w:lang w:eastAsia="zh-CN"/>
        </w:rPr>
        <w:t xml:space="preserve">Trong giai đoạn 2021 - 2025, </w:t>
      </w:r>
      <w:r w:rsidR="000B674E">
        <w:rPr>
          <w:iCs/>
          <w:sz w:val="28"/>
          <w:szCs w:val="28"/>
          <w:lang w:eastAsia="zh-CN"/>
        </w:rPr>
        <w:t>UBND</w:t>
      </w:r>
      <w:r w:rsidRPr="00C61221">
        <w:rPr>
          <w:iCs/>
          <w:sz w:val="28"/>
          <w:szCs w:val="28"/>
          <w:lang w:eastAsia="zh-CN"/>
        </w:rPr>
        <w:t xml:space="preserve"> Tỉnh tiếp tục giao nhiệm vụ </w:t>
      </w:r>
      <w:r w:rsidRPr="00C61221">
        <w:rPr>
          <w:bCs/>
          <w:sz w:val="28"/>
          <w:szCs w:val="28"/>
          <w:lang w:eastAsia="zh-CN"/>
        </w:rPr>
        <w:t xml:space="preserve">đổi mới, phát triển </w:t>
      </w:r>
      <w:r w:rsidR="000B674E">
        <w:rPr>
          <w:bCs/>
          <w:sz w:val="28"/>
          <w:szCs w:val="28"/>
          <w:lang w:eastAsia="zh-CN"/>
        </w:rPr>
        <w:t>KTTT</w:t>
      </w:r>
      <w:r w:rsidRPr="00C61221">
        <w:rPr>
          <w:bCs/>
          <w:sz w:val="28"/>
          <w:szCs w:val="28"/>
          <w:lang w:eastAsia="zh-CN"/>
        </w:rPr>
        <w:t xml:space="preserve">, </w:t>
      </w:r>
      <w:r w:rsidR="000B674E">
        <w:rPr>
          <w:bCs/>
          <w:sz w:val="28"/>
          <w:szCs w:val="28"/>
          <w:lang w:eastAsia="zh-CN"/>
        </w:rPr>
        <w:t>HTX</w:t>
      </w:r>
      <w:r w:rsidRPr="00C61221">
        <w:rPr>
          <w:bCs/>
          <w:sz w:val="28"/>
          <w:szCs w:val="28"/>
          <w:lang w:eastAsia="zh-CN"/>
        </w:rPr>
        <w:t xml:space="preserve"> trên địa bàn Tỉnh cho Ban Chỉ đạo Chương trình </w:t>
      </w:r>
      <w:r w:rsidR="000B674E">
        <w:rPr>
          <w:bCs/>
          <w:sz w:val="28"/>
          <w:szCs w:val="28"/>
          <w:lang w:eastAsia="zh-CN"/>
        </w:rPr>
        <w:t>M</w:t>
      </w:r>
      <w:r w:rsidRPr="00C61221">
        <w:rPr>
          <w:bCs/>
          <w:sz w:val="28"/>
          <w:szCs w:val="28"/>
          <w:lang w:eastAsia="zh-CN"/>
        </w:rPr>
        <w:t xml:space="preserve">ục tiêu </w:t>
      </w:r>
      <w:r w:rsidR="000B674E">
        <w:rPr>
          <w:bCs/>
          <w:sz w:val="28"/>
          <w:szCs w:val="28"/>
          <w:lang w:eastAsia="zh-CN"/>
        </w:rPr>
        <w:t>Q</w:t>
      </w:r>
      <w:r w:rsidRPr="00C61221">
        <w:rPr>
          <w:bCs/>
          <w:sz w:val="28"/>
          <w:szCs w:val="28"/>
          <w:lang w:eastAsia="zh-CN"/>
        </w:rPr>
        <w:t xml:space="preserve">uốc gia </w:t>
      </w:r>
      <w:r w:rsidR="000B674E">
        <w:rPr>
          <w:bCs/>
          <w:sz w:val="28"/>
          <w:szCs w:val="28"/>
          <w:lang w:eastAsia="zh-CN"/>
        </w:rPr>
        <w:t>X</w:t>
      </w:r>
      <w:r w:rsidRPr="00C61221">
        <w:rPr>
          <w:bCs/>
          <w:sz w:val="28"/>
          <w:szCs w:val="28"/>
          <w:lang w:eastAsia="zh-CN"/>
        </w:rPr>
        <w:t xml:space="preserve">ây dựng nông thôn mới và Tái cơ cấu ngành </w:t>
      </w:r>
      <w:r w:rsidR="000B674E">
        <w:rPr>
          <w:bCs/>
          <w:sz w:val="28"/>
          <w:szCs w:val="28"/>
          <w:lang w:eastAsia="zh-CN"/>
        </w:rPr>
        <w:t>N</w:t>
      </w:r>
      <w:r w:rsidRPr="00C61221">
        <w:rPr>
          <w:bCs/>
          <w:sz w:val="28"/>
          <w:szCs w:val="28"/>
          <w:lang w:eastAsia="zh-CN"/>
        </w:rPr>
        <w:t>ông nghiệp tỉnh Đồng Tháp giai đoạn 2021 - 2025 thực hiện</w:t>
      </w:r>
      <w:r w:rsidRPr="00C61221">
        <w:rPr>
          <w:bCs/>
          <w:sz w:val="28"/>
          <w:szCs w:val="28"/>
          <w:vertAlign w:val="superscript"/>
          <w:lang w:eastAsia="zh-CN"/>
        </w:rPr>
        <w:t>(</w:t>
      </w:r>
      <w:r w:rsidRPr="00C61221">
        <w:rPr>
          <w:bCs/>
          <w:sz w:val="28"/>
          <w:szCs w:val="28"/>
          <w:vertAlign w:val="superscript"/>
          <w:lang w:eastAsia="zh-CN"/>
        </w:rPr>
        <w:footnoteReference w:id="7"/>
      </w:r>
      <w:r w:rsidRPr="00C61221">
        <w:rPr>
          <w:bCs/>
          <w:sz w:val="28"/>
          <w:szCs w:val="28"/>
          <w:vertAlign w:val="superscript"/>
          <w:lang w:eastAsia="zh-CN"/>
        </w:rPr>
        <w:t>)</w:t>
      </w:r>
      <w:r w:rsidRPr="00C61221">
        <w:rPr>
          <w:sz w:val="28"/>
          <w:szCs w:val="28"/>
          <w:lang w:eastAsia="zh-CN"/>
        </w:rPr>
        <w:t xml:space="preserve">, với </w:t>
      </w:r>
      <w:r w:rsidRPr="00C61221">
        <w:rPr>
          <w:rFonts w:eastAsia="Calibri"/>
          <w:sz w:val="28"/>
          <w:szCs w:val="28"/>
          <w:lang w:val="zu-ZA" w:eastAsia="zh-CN"/>
        </w:rPr>
        <w:t>28 thành viên</w:t>
      </w:r>
      <w:r w:rsidRPr="00C61221">
        <w:rPr>
          <w:sz w:val="28"/>
          <w:szCs w:val="28"/>
          <w:lang w:eastAsia="zh-CN"/>
        </w:rPr>
        <w:t>. T</w:t>
      </w:r>
      <w:r w:rsidRPr="00C61221">
        <w:rPr>
          <w:bCs/>
          <w:sz w:val="28"/>
          <w:szCs w:val="28"/>
          <w:lang w:eastAsia="zh-CN"/>
        </w:rPr>
        <w:t xml:space="preserve">rong đó, mời Bí thư Tỉnh </w:t>
      </w:r>
      <w:r w:rsidR="00015662">
        <w:rPr>
          <w:bCs/>
          <w:sz w:val="28"/>
          <w:szCs w:val="28"/>
          <w:lang w:eastAsia="zh-CN"/>
        </w:rPr>
        <w:t>uỷ</w:t>
      </w:r>
      <w:r w:rsidRPr="00C61221">
        <w:rPr>
          <w:bCs/>
          <w:sz w:val="28"/>
          <w:szCs w:val="28"/>
          <w:lang w:eastAsia="zh-CN"/>
        </w:rPr>
        <w:t xml:space="preserve"> làm Trưởng ban, </w:t>
      </w:r>
      <w:r w:rsidRPr="00C61221">
        <w:rPr>
          <w:rFonts w:eastAsia="Calibri"/>
          <w:sz w:val="28"/>
          <w:szCs w:val="28"/>
          <w:lang w:val="zu-ZA" w:eastAsia="zh-CN"/>
        </w:rPr>
        <w:t>Phó Chủ tịch UBND Tỉnh làm Phó trưởng ban</w:t>
      </w:r>
      <w:r w:rsidRPr="00C61221">
        <w:rPr>
          <w:rFonts w:eastAsia="Calibri"/>
          <w:sz w:val="28"/>
          <w:szCs w:val="28"/>
          <w:lang w:eastAsia="zh-CN"/>
        </w:rPr>
        <w:t>,</w:t>
      </w:r>
      <w:r w:rsidRPr="00C61221">
        <w:rPr>
          <w:rFonts w:eastAsia="Calibri"/>
          <w:sz w:val="28"/>
          <w:szCs w:val="28"/>
          <w:lang w:val="zu-ZA" w:eastAsia="zh-CN"/>
        </w:rPr>
        <w:t xml:space="preserve"> Giám đốc Sở Nông nghiệp và </w:t>
      </w:r>
      <w:r w:rsidR="000B674E">
        <w:rPr>
          <w:rFonts w:eastAsia="Calibri"/>
          <w:sz w:val="28"/>
          <w:szCs w:val="28"/>
          <w:lang w:val="zu-ZA" w:eastAsia="zh-CN"/>
        </w:rPr>
        <w:t>PTNT</w:t>
      </w:r>
      <w:r w:rsidRPr="00C61221">
        <w:rPr>
          <w:rFonts w:eastAsia="Calibri"/>
          <w:sz w:val="28"/>
          <w:szCs w:val="28"/>
          <w:lang w:val="zu-ZA" w:eastAsia="zh-CN"/>
        </w:rPr>
        <w:t xml:space="preserve"> làm </w:t>
      </w:r>
      <w:r w:rsidR="00015662">
        <w:rPr>
          <w:rFonts w:eastAsia="Calibri"/>
          <w:sz w:val="28"/>
          <w:szCs w:val="28"/>
          <w:lang w:val="zu-ZA" w:eastAsia="zh-CN"/>
        </w:rPr>
        <w:t>Uỷ</w:t>
      </w:r>
      <w:r w:rsidRPr="00C61221">
        <w:rPr>
          <w:rFonts w:eastAsia="Calibri"/>
          <w:sz w:val="28"/>
          <w:szCs w:val="28"/>
          <w:lang w:val="zu-ZA" w:eastAsia="zh-CN"/>
        </w:rPr>
        <w:t xml:space="preserve"> viên thường trực</w:t>
      </w:r>
      <w:r w:rsidRPr="00C61221">
        <w:rPr>
          <w:sz w:val="28"/>
          <w:szCs w:val="28"/>
          <w:lang w:eastAsia="zh-CN"/>
        </w:rPr>
        <w:t xml:space="preserve">, </w:t>
      </w:r>
      <w:r w:rsidRPr="00C61221">
        <w:rPr>
          <w:bCs/>
          <w:sz w:val="28"/>
          <w:szCs w:val="28"/>
          <w:lang w:eastAsia="zh-CN"/>
        </w:rPr>
        <w:t xml:space="preserve">Giám đốc Sở Kế hoạch và Đầu tư làm </w:t>
      </w:r>
      <w:r w:rsidR="00015662">
        <w:rPr>
          <w:bCs/>
          <w:sz w:val="28"/>
          <w:szCs w:val="28"/>
          <w:lang w:eastAsia="zh-CN"/>
        </w:rPr>
        <w:t>uỷ</w:t>
      </w:r>
      <w:r w:rsidRPr="00C61221">
        <w:rPr>
          <w:bCs/>
          <w:sz w:val="28"/>
          <w:szCs w:val="28"/>
          <w:lang w:eastAsia="zh-CN"/>
        </w:rPr>
        <w:t xml:space="preserve"> viên Ban Chỉ đạo.</w:t>
      </w:r>
      <w:r w:rsidRPr="00C61221">
        <w:rPr>
          <w:sz w:val="28"/>
          <w:szCs w:val="28"/>
          <w:lang w:eastAsia="zh-CN"/>
        </w:rPr>
        <w:t xml:space="preserve"> Sở Kế hoạch và Đầu tư được giao nhiệm vụ quản lý nhà nước về KTTT, HTX trên địa bàn.</w:t>
      </w:r>
    </w:p>
    <w:p w:rsidR="004517D4" w:rsidRPr="00C61221" w:rsidRDefault="004517D4" w:rsidP="00C61221">
      <w:pPr>
        <w:spacing w:before="60" w:after="60"/>
        <w:ind w:firstLine="720"/>
        <w:jc w:val="both"/>
        <w:rPr>
          <w:i/>
          <w:sz w:val="28"/>
          <w:szCs w:val="28"/>
          <w:lang w:eastAsia="zh-CN"/>
        </w:rPr>
      </w:pPr>
      <w:r w:rsidRPr="00C61221">
        <w:rPr>
          <w:sz w:val="28"/>
          <w:szCs w:val="28"/>
          <w:lang w:eastAsia="zh-CN"/>
        </w:rPr>
        <w:t xml:space="preserve"> </w:t>
      </w:r>
      <w:r w:rsidRPr="00C61221">
        <w:rPr>
          <w:i/>
          <w:sz w:val="28"/>
          <w:szCs w:val="28"/>
          <w:lang w:val="nl-NL" w:eastAsia="zh-CN"/>
        </w:rPr>
        <w:t xml:space="preserve">2.3. Tình hình phối hợp giữa các cơ quan có liên quan (trong đó có Liên minh HTX) trong quản lý </w:t>
      </w:r>
      <w:r w:rsidR="000B674E">
        <w:rPr>
          <w:i/>
          <w:sz w:val="28"/>
          <w:szCs w:val="28"/>
          <w:lang w:val="nl-NL" w:eastAsia="zh-CN"/>
        </w:rPr>
        <w:t>nhà nước về KTTT, HTX ở các cấp</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Công tác phối hợp giữa các cơ quan quản lý nhà nước</w:t>
      </w:r>
      <w:r w:rsidRPr="00C61221">
        <w:rPr>
          <w:sz w:val="28"/>
          <w:szCs w:val="28"/>
          <w:lang w:val="nl-NL" w:eastAsia="zh-CN"/>
        </w:rPr>
        <w:t xml:space="preserve"> về KTTT, HTX</w:t>
      </w:r>
      <w:r w:rsidRPr="00C61221">
        <w:rPr>
          <w:sz w:val="28"/>
          <w:szCs w:val="28"/>
          <w:lang w:eastAsia="zh-CN"/>
        </w:rPr>
        <w:t xml:space="preserve">  trong đó có Liên minh HTX được thực hiện thông qua Kế hoạch phối hợp hoạt động, tạo thuận lợi cho từng ngành, từng đơn vị thực hiện chức năng quản lý nhà nước, chức năng hỗ trợ thúc đẩy phát triển KTTT, HTX được thuận lợi.</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Tuy nhiên, do cơ quan quản lý nhà nước về KTTT, HTX ở cấp huyện là </w:t>
      </w:r>
      <w:r w:rsidRPr="00C61221">
        <w:rPr>
          <w:rFonts w:eastAsia="Calibri"/>
          <w:bCs/>
          <w:sz w:val="28"/>
          <w:szCs w:val="28"/>
          <w:lang w:val="fr-FR"/>
        </w:rPr>
        <w:t>Phòng Tài chính</w:t>
      </w:r>
      <w:r w:rsidR="000B674E">
        <w:rPr>
          <w:rFonts w:eastAsia="Calibri"/>
          <w:bCs/>
          <w:sz w:val="28"/>
          <w:szCs w:val="28"/>
          <w:lang w:val="fr-FR"/>
        </w:rPr>
        <w:t xml:space="preserve"> </w:t>
      </w:r>
      <w:r w:rsidRPr="00C61221">
        <w:rPr>
          <w:rFonts w:eastAsia="Calibri"/>
          <w:bCs/>
          <w:sz w:val="28"/>
          <w:szCs w:val="28"/>
          <w:lang w:val="fr-FR"/>
        </w:rPr>
        <w:t>- Kế hoạch hoặc Phòng Nông nghiệp</w:t>
      </w:r>
      <w:r w:rsidRPr="00C61221">
        <w:rPr>
          <w:rFonts w:eastAsia="Calibri"/>
          <w:bCs/>
          <w:sz w:val="28"/>
          <w:szCs w:val="28"/>
          <w:lang w:val="vi-VN"/>
        </w:rPr>
        <w:t xml:space="preserve"> và Phát triển nông thôn</w:t>
      </w:r>
      <w:r w:rsidRPr="00C61221">
        <w:rPr>
          <w:rFonts w:eastAsia="Calibri"/>
          <w:bCs/>
          <w:sz w:val="28"/>
          <w:szCs w:val="28"/>
        </w:rPr>
        <w:t xml:space="preserve"> nên công tác phối hợp còn khó khăn, vướng mắc.</w:t>
      </w:r>
    </w:p>
    <w:p w:rsidR="004517D4" w:rsidRPr="00C61221" w:rsidRDefault="004517D4" w:rsidP="00C61221">
      <w:pPr>
        <w:spacing w:before="60" w:after="60"/>
        <w:ind w:firstLine="720"/>
        <w:jc w:val="both"/>
        <w:rPr>
          <w:b/>
          <w:bCs/>
          <w:sz w:val="28"/>
          <w:szCs w:val="28"/>
          <w:lang w:eastAsia="zh-CN"/>
        </w:rPr>
      </w:pPr>
      <w:r w:rsidRPr="00C61221">
        <w:rPr>
          <w:b/>
          <w:bCs/>
          <w:sz w:val="28"/>
          <w:szCs w:val="28"/>
          <w:lang w:val="vi-VN" w:eastAsia="zh-CN"/>
        </w:rPr>
        <w:t>3. Công tác tổ chức thực hiện quản lý nhà nước về KTTT, HTX</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 xml:space="preserve">3.1. Vai trò, trách nhiệm của các </w:t>
      </w:r>
      <w:r w:rsidR="000B674E">
        <w:rPr>
          <w:i/>
          <w:sz w:val="28"/>
          <w:szCs w:val="28"/>
          <w:lang w:eastAsia="zh-CN"/>
        </w:rPr>
        <w:t>s</w:t>
      </w:r>
      <w:r w:rsidRPr="00C61221">
        <w:rPr>
          <w:i/>
          <w:sz w:val="28"/>
          <w:szCs w:val="28"/>
          <w:lang w:eastAsia="zh-CN"/>
        </w:rPr>
        <w:t>ở, ngành trong phối hợp triển khai thực hiện Luật HTX năm 2012</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Hầu hết các HTX trên địa bàn thuộc lĩnh vực nông nghiệp, một số thuộc lĩnh vực tài chính</w:t>
      </w:r>
      <w:r w:rsidR="000B674E">
        <w:rPr>
          <w:sz w:val="28"/>
          <w:szCs w:val="28"/>
          <w:lang w:eastAsia="zh-CN"/>
        </w:rPr>
        <w:t xml:space="preserve"> </w:t>
      </w:r>
      <w:r w:rsidRPr="00C61221">
        <w:rPr>
          <w:sz w:val="28"/>
          <w:szCs w:val="28"/>
          <w:lang w:eastAsia="zh-CN"/>
        </w:rPr>
        <w:t xml:space="preserve">- tín dụng, vận tải, tiểu thủ công nghiệp nên công tác phối hợp với các </w:t>
      </w:r>
      <w:r w:rsidR="000B674E">
        <w:rPr>
          <w:sz w:val="28"/>
          <w:szCs w:val="28"/>
          <w:lang w:eastAsia="zh-CN"/>
        </w:rPr>
        <w:t>s</w:t>
      </w:r>
      <w:r w:rsidRPr="00C61221">
        <w:rPr>
          <w:sz w:val="28"/>
          <w:szCs w:val="28"/>
          <w:lang w:eastAsia="zh-CN"/>
        </w:rPr>
        <w:t xml:space="preserve">ở, </w:t>
      </w:r>
      <w:r w:rsidR="000B674E">
        <w:rPr>
          <w:sz w:val="28"/>
          <w:szCs w:val="28"/>
          <w:lang w:eastAsia="zh-CN"/>
        </w:rPr>
        <w:t>đ</w:t>
      </w:r>
      <w:r w:rsidRPr="00C61221">
        <w:rPr>
          <w:sz w:val="28"/>
          <w:szCs w:val="28"/>
          <w:lang w:eastAsia="zh-CN"/>
        </w:rPr>
        <w:t xml:space="preserve">ơn vị quản lý chuyên ngành trong triển khai thực hiện Luật HTX năm 2012 cơ bản thuận lợi. </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3.2.Công tác xây dựng chiến lược, kế hoạch, chương trình hỗ trợ phát triển KTTT, HTX.</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Căn cứ hướng dẫn của Trung ương,</w:t>
      </w:r>
      <w:r w:rsidR="000B674E">
        <w:rPr>
          <w:sz w:val="28"/>
          <w:szCs w:val="28"/>
          <w:lang w:eastAsia="zh-CN"/>
        </w:rPr>
        <w:t xml:space="preserve"> </w:t>
      </w:r>
      <w:r w:rsidRPr="00C61221">
        <w:rPr>
          <w:sz w:val="28"/>
          <w:szCs w:val="28"/>
          <w:lang w:eastAsia="zh-CN"/>
        </w:rPr>
        <w:t>Tỉnh triển khai xây dựng chiến lược, kế hoạch, chương trình thực hiện theo đúng quy định, trường hợp với những chính sách hỗ trợ, quy định Trung ương cho phép sử dụng nguồn lực của địa phương để thực hiện thì Tỉnh luôn bố trí kinh phí tối đa để thực hiện.</w:t>
      </w:r>
    </w:p>
    <w:p w:rsidR="004517D4" w:rsidRPr="00C61221" w:rsidRDefault="004517D4" w:rsidP="00C61221">
      <w:pPr>
        <w:spacing w:before="60" w:after="60"/>
        <w:ind w:firstLine="720"/>
        <w:jc w:val="both"/>
        <w:rPr>
          <w:sz w:val="28"/>
          <w:szCs w:val="28"/>
          <w:lang w:eastAsia="zh-CN"/>
        </w:rPr>
      </w:pPr>
      <w:r w:rsidRPr="00C61221">
        <w:rPr>
          <w:i/>
          <w:sz w:val="28"/>
          <w:szCs w:val="28"/>
          <w:lang w:eastAsia="zh-CN"/>
        </w:rPr>
        <w:t>3.3. Công tác ứng dụng công nghệ thông tin, chuyển đổi số trong quản lý nhà nước, xây dựng và khai thác cơ sở dữ liệu về KTTT, HTX của  địa phương, giải quyết các thủ tục hành chính và báo cáo cho các HTX</w:t>
      </w:r>
      <w:r w:rsidRPr="00C61221">
        <w:rPr>
          <w:sz w:val="28"/>
          <w:szCs w:val="28"/>
          <w:lang w:eastAsia="zh-CN"/>
        </w:rPr>
        <w:t xml:space="preserve"> </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a) Đối với HTX</w:t>
      </w:r>
    </w:p>
    <w:p w:rsidR="004517D4" w:rsidRPr="00C61221" w:rsidRDefault="004517D4" w:rsidP="00C61221">
      <w:pPr>
        <w:spacing w:before="60" w:after="60"/>
        <w:ind w:firstLine="720"/>
        <w:jc w:val="both"/>
        <w:rPr>
          <w:i/>
          <w:sz w:val="28"/>
          <w:szCs w:val="28"/>
          <w:lang w:eastAsia="zh-CN"/>
        </w:rPr>
      </w:pPr>
      <w:r w:rsidRPr="00C61221">
        <w:rPr>
          <w:sz w:val="28"/>
          <w:szCs w:val="28"/>
          <w:lang w:eastAsia="zh-CN"/>
        </w:rPr>
        <w:t>Hiện tại công tác ứng dụng công nghệ thông tin trong thực hiện thủ tục hành chính về đăng ký HTX và khai thác cơ sở dữ liệu về HTX đều thực hiện và khai thác trên Hệ thống do Bộ Kế hoạch và Đầu tư quản lý.</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Tuy nhiên, Hệ thống này chưa được hoàn thiện như Hệ thống đăng ký doanh nghiệp cũng do Bộ Kế hoạch và Đầu tư quản lý</w:t>
      </w:r>
      <w:r w:rsidR="000B674E">
        <w:rPr>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i/>
          <w:sz w:val="28"/>
          <w:szCs w:val="28"/>
          <w:lang w:eastAsia="zh-CN"/>
        </w:rPr>
        <w:lastRenderedPageBreak/>
        <w:t>b) Đối với tổ hợp tác</w:t>
      </w:r>
      <w:r w:rsidRPr="000B674E">
        <w:rPr>
          <w:sz w:val="28"/>
          <w:szCs w:val="28"/>
          <w:lang w:eastAsia="zh-CN"/>
        </w:rPr>
        <w:t xml:space="preserve">: </w:t>
      </w:r>
      <w:r w:rsidR="000B674E">
        <w:rPr>
          <w:sz w:val="28"/>
          <w:szCs w:val="28"/>
          <w:lang w:eastAsia="zh-CN"/>
        </w:rPr>
        <w:t>h</w:t>
      </w:r>
      <w:r w:rsidRPr="000B674E">
        <w:rPr>
          <w:sz w:val="28"/>
          <w:szCs w:val="28"/>
          <w:lang w:eastAsia="zh-CN"/>
        </w:rPr>
        <w:t>iện</w:t>
      </w:r>
      <w:r w:rsidRPr="00C61221">
        <w:rPr>
          <w:sz w:val="28"/>
          <w:szCs w:val="28"/>
          <w:lang w:eastAsia="zh-CN"/>
        </w:rPr>
        <w:t xml:space="preserve"> chưa có Hệ thống cơ sở dữ liệu tập trung, các địa phương tự nghiên cứu xây dựng để quản lý</w:t>
      </w:r>
      <w:r w:rsidR="000B674E">
        <w:rPr>
          <w:sz w:val="28"/>
          <w:szCs w:val="28"/>
          <w:lang w:eastAsia="zh-CN"/>
        </w:rPr>
        <w:t>.</w:t>
      </w:r>
      <w:r w:rsidRPr="00C61221">
        <w:rPr>
          <w:sz w:val="28"/>
          <w:szCs w:val="28"/>
          <w:lang w:eastAsia="zh-CN"/>
        </w:rPr>
        <w:t xml:space="preserve"> </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3.4. Về triển khai thủ tục chuyển đổi các HTX, chưa chuyển đổi, và giải thể các HTX ngừng hoạt động theo Luật HTX năm 2012</w:t>
      </w:r>
    </w:p>
    <w:p w:rsidR="004517D4" w:rsidRPr="00C61221" w:rsidRDefault="004517D4" w:rsidP="00C61221">
      <w:pPr>
        <w:spacing w:before="60" w:after="60"/>
        <w:ind w:firstLine="720"/>
        <w:jc w:val="both"/>
        <w:rPr>
          <w:b/>
          <w:sz w:val="28"/>
          <w:szCs w:val="28"/>
          <w:lang w:eastAsia="zh-CN"/>
        </w:rPr>
      </w:pPr>
      <w:r w:rsidRPr="00C61221">
        <w:rPr>
          <w:i/>
          <w:sz w:val="28"/>
          <w:szCs w:val="28"/>
          <w:lang w:eastAsia="zh-CN"/>
        </w:rPr>
        <w:t xml:space="preserve">a) </w:t>
      </w:r>
      <w:r w:rsidRPr="00C61221">
        <w:rPr>
          <w:i/>
          <w:sz w:val="28"/>
          <w:szCs w:val="28"/>
          <w:lang w:val="vi-VN" w:eastAsia="zh-CN"/>
        </w:rPr>
        <w:t>Tình hình tổ chức và hướng dẫn đăng ký HTX theo Luật</w:t>
      </w:r>
      <w:r w:rsidRPr="00C61221">
        <w:rPr>
          <w:sz w:val="28"/>
          <w:szCs w:val="28"/>
          <w:lang w:val="vi-VN" w:eastAsia="zh-CN"/>
        </w:rPr>
        <w: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Thực hiện</w:t>
      </w:r>
      <w:r w:rsidRPr="00C61221">
        <w:rPr>
          <w:sz w:val="28"/>
          <w:szCs w:val="28"/>
          <w:lang w:val="vi-VN" w:eastAsia="zh-CN"/>
        </w:rPr>
        <w:t xml:space="preserve"> Kế hoạch 99/KH-UBND ngày 15/7/2014 </w:t>
      </w:r>
      <w:r w:rsidR="00F824EA">
        <w:rPr>
          <w:sz w:val="28"/>
          <w:szCs w:val="28"/>
          <w:lang w:eastAsia="zh-CN"/>
        </w:rPr>
        <w:t>của UBND Tỉnh</w:t>
      </w:r>
      <w:r w:rsidR="00F824EA">
        <w:rPr>
          <w:sz w:val="28"/>
          <w:szCs w:val="28"/>
          <w:lang w:val="vi-VN" w:eastAsia="zh-CN"/>
        </w:rPr>
        <w:t xml:space="preserve">, </w:t>
      </w:r>
      <w:r w:rsidRPr="00C61221">
        <w:rPr>
          <w:sz w:val="28"/>
          <w:szCs w:val="28"/>
          <w:lang w:val="vi-VN" w:eastAsia="zh-CN"/>
        </w:rPr>
        <w:t xml:space="preserve">Sở Kế hoạch và Đầu tư </w:t>
      </w:r>
      <w:r w:rsidR="00F824EA">
        <w:rPr>
          <w:sz w:val="28"/>
          <w:szCs w:val="28"/>
          <w:lang w:eastAsia="zh-CN"/>
        </w:rPr>
        <w:t xml:space="preserve">đã </w:t>
      </w:r>
      <w:r w:rsidRPr="00C61221">
        <w:rPr>
          <w:sz w:val="28"/>
          <w:szCs w:val="28"/>
          <w:lang w:eastAsia="zh-CN"/>
        </w:rPr>
        <w:t>có</w:t>
      </w:r>
      <w:r w:rsidRPr="00C61221">
        <w:rPr>
          <w:sz w:val="28"/>
          <w:szCs w:val="28"/>
          <w:lang w:val="vi-VN" w:eastAsia="zh-CN"/>
        </w:rPr>
        <w:t xml:space="preserve"> văn bản</w:t>
      </w:r>
      <w:r w:rsidRPr="00C61221">
        <w:rPr>
          <w:sz w:val="28"/>
          <w:szCs w:val="28"/>
          <w:vertAlign w:val="superscript"/>
          <w:lang w:eastAsia="zh-CN"/>
        </w:rPr>
        <w:t>(</w:t>
      </w:r>
      <w:r w:rsidRPr="00C61221">
        <w:rPr>
          <w:sz w:val="28"/>
          <w:szCs w:val="28"/>
          <w:vertAlign w:val="superscript"/>
          <w:lang w:val="vi-VN" w:eastAsia="zh-CN"/>
        </w:rPr>
        <w:footnoteReference w:id="8"/>
      </w:r>
      <w:r w:rsidRPr="00C61221">
        <w:rPr>
          <w:sz w:val="28"/>
          <w:szCs w:val="28"/>
          <w:vertAlign w:val="superscript"/>
          <w:lang w:eastAsia="zh-CN"/>
        </w:rPr>
        <w:t>)</w:t>
      </w:r>
      <w:r w:rsidRPr="00C61221">
        <w:rPr>
          <w:sz w:val="28"/>
          <w:szCs w:val="28"/>
          <w:lang w:val="vi-VN" w:eastAsia="zh-CN"/>
        </w:rPr>
        <w:t xml:space="preserve"> hướng dẫn trình tự, các bước tiến hành tổ chức lại HTX theo Luật </w:t>
      </w:r>
      <w:r w:rsidRPr="00C61221">
        <w:rPr>
          <w:sz w:val="28"/>
          <w:szCs w:val="28"/>
          <w:lang w:eastAsia="zh-CN"/>
        </w:rPr>
        <w:t>HTX</w:t>
      </w:r>
      <w:r w:rsidRPr="00C61221">
        <w:rPr>
          <w:sz w:val="28"/>
          <w:szCs w:val="28"/>
          <w:lang w:val="vi-VN" w:eastAsia="zh-CN"/>
        </w:rPr>
        <w:t xml:space="preserve"> năm 2012 để các </w:t>
      </w:r>
      <w:r w:rsidR="00F824EA">
        <w:rPr>
          <w:sz w:val="28"/>
          <w:szCs w:val="28"/>
          <w:lang w:eastAsia="zh-CN"/>
        </w:rPr>
        <w:t>s</w:t>
      </w:r>
      <w:r w:rsidRPr="00C61221">
        <w:rPr>
          <w:sz w:val="28"/>
          <w:szCs w:val="28"/>
          <w:lang w:val="vi-VN" w:eastAsia="zh-CN"/>
        </w:rPr>
        <w:t xml:space="preserve">ở, ngành có liên quan đến chức năng quản lý nhà nước về HTX trong ngành, lĩnh vực, </w:t>
      </w:r>
      <w:r w:rsidRPr="00C61221">
        <w:rPr>
          <w:sz w:val="28"/>
          <w:szCs w:val="28"/>
          <w:lang w:eastAsia="zh-CN"/>
        </w:rPr>
        <w:t>UBND</w:t>
      </w:r>
      <w:r w:rsidRPr="00C61221">
        <w:rPr>
          <w:sz w:val="28"/>
          <w:szCs w:val="28"/>
          <w:lang w:val="vi-VN" w:eastAsia="zh-CN"/>
        </w:rPr>
        <w:t xml:space="preserve"> </w:t>
      </w:r>
      <w:r w:rsidRPr="00C61221">
        <w:rPr>
          <w:sz w:val="28"/>
          <w:szCs w:val="28"/>
          <w:lang w:eastAsia="zh-CN"/>
        </w:rPr>
        <w:t>cấp huyện</w:t>
      </w:r>
      <w:r w:rsidRPr="00C61221">
        <w:rPr>
          <w:sz w:val="28"/>
          <w:szCs w:val="28"/>
          <w:lang w:val="vi-VN" w:eastAsia="zh-CN"/>
        </w:rPr>
        <w:t xml:space="preserve"> phổ biến, hướng dẫn các HTX thực hiện.</w:t>
      </w:r>
      <w:r w:rsidR="00F824EA">
        <w:rPr>
          <w:sz w:val="28"/>
          <w:szCs w:val="28"/>
          <w:lang w:eastAsia="zh-CN"/>
        </w:rPr>
        <w:t xml:space="preserve"> </w:t>
      </w:r>
      <w:r w:rsidRPr="00C61221">
        <w:rPr>
          <w:sz w:val="28"/>
          <w:szCs w:val="28"/>
          <w:lang w:val="vi-VN" w:eastAsia="zh-CN"/>
        </w:rPr>
        <w:t>Đối với việc thành lập mới HTX</w:t>
      </w:r>
      <w:r w:rsidRPr="00C61221">
        <w:rPr>
          <w:sz w:val="28"/>
          <w:szCs w:val="28"/>
          <w:lang w:eastAsia="zh-CN"/>
        </w:rPr>
        <w:t>,</w:t>
      </w:r>
      <w:r w:rsidRPr="00C61221">
        <w:rPr>
          <w:sz w:val="28"/>
          <w:szCs w:val="28"/>
          <w:lang w:val="vi-VN" w:eastAsia="zh-CN"/>
        </w:rPr>
        <w:t xml:space="preserve"> quan điểm, chủ trương của Tỉnh phải xuất phát từ nhu cầu thực tế và nguyện vọng của bà con nông dân, mong muốn hợp tác, tương trợ lẫn nhau trên nguyên tắc tự chủ, tự chịu trách nhiệm trong quản lý và hoạt động sản xuất kinh doanh của HTX, không áp đặt, chạy theo thành tích.</w:t>
      </w:r>
      <w:r w:rsidR="00F824EA">
        <w:rPr>
          <w:sz w:val="28"/>
          <w:szCs w:val="28"/>
          <w:lang w:eastAsia="zh-CN"/>
        </w:rPr>
        <w:t xml:space="preserve"> </w:t>
      </w:r>
      <w:r w:rsidRPr="00C61221">
        <w:rPr>
          <w:sz w:val="28"/>
          <w:szCs w:val="28"/>
          <w:lang w:val="vi-VN" w:eastAsia="zh-CN"/>
        </w:rPr>
        <w:t xml:space="preserve">Chỉ đạo Sở Nông nghiệp và </w:t>
      </w:r>
      <w:r w:rsidR="00F824EA">
        <w:rPr>
          <w:sz w:val="28"/>
          <w:szCs w:val="28"/>
          <w:lang w:eastAsia="zh-CN"/>
        </w:rPr>
        <w:t>PTNT</w:t>
      </w:r>
      <w:r w:rsidRPr="00C61221">
        <w:rPr>
          <w:sz w:val="28"/>
          <w:szCs w:val="28"/>
          <w:lang w:val="vi-VN" w:eastAsia="zh-CN"/>
        </w:rPr>
        <w:t>, Sở Kế hoạch và Đầu tư phối hợp với Liên minh Hợp tác xã Tỉnh và các địa phương thường xuyên đi cơ sở, theo dõi, quan sát, nắm bắt tình hình nếu nơi nào có mong muốn thành lập HTX để kịp thời hỗ trợ, hướng dẫn quá trình thành lập, tổ chức Đại hội thành viên, xây dựng phướng án sản xuấ</w:t>
      </w:r>
      <w:r w:rsidR="00F824EA">
        <w:rPr>
          <w:sz w:val="28"/>
          <w:szCs w:val="28"/>
          <w:lang w:val="vi-VN" w:eastAsia="zh-CN"/>
        </w:rPr>
        <w:t xml:space="preserve">t kinh doanh, Điều lệ tổ chức… </w:t>
      </w:r>
      <w:r w:rsidRPr="00C61221">
        <w:rPr>
          <w:sz w:val="28"/>
          <w:szCs w:val="28"/>
          <w:lang w:val="vi-VN" w:eastAsia="zh-CN"/>
        </w:rPr>
        <w:t>Từ ngày 01/7/2013</w:t>
      </w:r>
      <w:r w:rsidRPr="00C61221">
        <w:rPr>
          <w:sz w:val="28"/>
          <w:szCs w:val="28"/>
          <w:lang w:eastAsia="zh-CN"/>
        </w:rPr>
        <w:t xml:space="preserve"> đến cuối năm 2020, có 106 HTX thành lập mới. Dự kiến năm 2021 có 09 HTX thành lập mới, dự kiến đến 31/12/2021 số HTX trên địa bàn Tỉnh là 214 HTX. </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b)</w:t>
      </w:r>
      <w:r w:rsidRPr="00C61221">
        <w:rPr>
          <w:i/>
          <w:sz w:val="28"/>
          <w:szCs w:val="28"/>
          <w:lang w:val="vi-VN" w:eastAsia="zh-CN"/>
        </w:rPr>
        <w:t xml:space="preserve"> Tình hình đăng ký lại HTX theo Luật </w:t>
      </w:r>
      <w:r w:rsidR="00502583">
        <w:rPr>
          <w:i/>
          <w:sz w:val="28"/>
          <w:szCs w:val="28"/>
          <w:lang w:eastAsia="zh-CN"/>
        </w:rPr>
        <w:t>HTX</w:t>
      </w:r>
      <w:r w:rsidRPr="00C61221">
        <w:rPr>
          <w:i/>
          <w:sz w:val="28"/>
          <w:szCs w:val="28"/>
          <w:lang w:val="vi-VN" w:eastAsia="zh-CN"/>
        </w:rPr>
        <w:t xml:space="preserve"> năm 2012</w:t>
      </w:r>
    </w:p>
    <w:p w:rsidR="004517D4" w:rsidRPr="00C61221" w:rsidRDefault="004517D4" w:rsidP="00C61221">
      <w:pPr>
        <w:spacing w:before="60" w:after="60"/>
        <w:ind w:firstLine="720"/>
        <w:jc w:val="both"/>
        <w:rPr>
          <w:i/>
          <w:sz w:val="28"/>
          <w:szCs w:val="28"/>
          <w:lang w:eastAsia="zh-CN"/>
        </w:rPr>
      </w:pPr>
      <w:r w:rsidRPr="00C61221">
        <w:rPr>
          <w:sz w:val="28"/>
          <w:szCs w:val="28"/>
          <w:lang w:val="vi-VN" w:eastAsia="zh-CN"/>
        </w:rPr>
        <w:t xml:space="preserve">Trước ngày 01/7/2013, trên địa bàn tỉnh Đồng Tháp có 210 HTX. Trong đó số HTX hoạt động chưa phù hợp với Luật </w:t>
      </w:r>
      <w:r w:rsidR="00502583">
        <w:rPr>
          <w:sz w:val="28"/>
          <w:szCs w:val="28"/>
          <w:lang w:eastAsia="zh-CN"/>
        </w:rPr>
        <w:t>HTX</w:t>
      </w:r>
      <w:r w:rsidRPr="00C61221">
        <w:rPr>
          <w:sz w:val="28"/>
          <w:szCs w:val="28"/>
          <w:lang w:val="vi-VN" w:eastAsia="zh-CN"/>
        </w:rPr>
        <w:t xml:space="preserve"> năm 2012 và cần phải chuyển đổi, đăng ký hoặc chuyển sang loại hình tổ chức khác là 210 HTX.</w:t>
      </w:r>
    </w:p>
    <w:p w:rsidR="004517D4" w:rsidRPr="00C61221" w:rsidRDefault="004517D4" w:rsidP="00C61221">
      <w:pPr>
        <w:spacing w:before="60" w:after="60"/>
        <w:ind w:firstLine="720"/>
        <w:jc w:val="both"/>
        <w:rPr>
          <w:i/>
          <w:sz w:val="28"/>
          <w:szCs w:val="28"/>
          <w:lang w:val="vi-VN" w:eastAsia="zh-CN"/>
        </w:rPr>
      </w:pPr>
      <w:r w:rsidRPr="00C61221">
        <w:rPr>
          <w:sz w:val="28"/>
          <w:szCs w:val="28"/>
          <w:lang w:eastAsia="zh-CN"/>
        </w:rPr>
        <w:t xml:space="preserve">Đến 31/12/2020 </w:t>
      </w:r>
      <w:r w:rsidRPr="00C61221">
        <w:rPr>
          <w:sz w:val="28"/>
          <w:szCs w:val="28"/>
          <w:lang w:val="vi-VN" w:eastAsia="zh-CN"/>
        </w:rPr>
        <w:t xml:space="preserve">trên địa bàn Đồng Tháp có </w:t>
      </w:r>
      <w:r w:rsidRPr="00C61221">
        <w:rPr>
          <w:sz w:val="28"/>
          <w:szCs w:val="28"/>
          <w:lang w:eastAsia="zh-CN"/>
        </w:rPr>
        <w:t>218</w:t>
      </w:r>
      <w:r w:rsidRPr="00C61221">
        <w:rPr>
          <w:sz w:val="28"/>
          <w:szCs w:val="28"/>
          <w:lang w:val="vi-VN" w:eastAsia="zh-CN"/>
        </w:rPr>
        <w:t xml:space="preserve"> HTX</w:t>
      </w:r>
      <w:r w:rsidRPr="00C61221">
        <w:rPr>
          <w:sz w:val="28"/>
          <w:szCs w:val="28"/>
          <w:vertAlign w:val="superscript"/>
          <w:lang w:val="vi-VN" w:eastAsia="zh-CN"/>
        </w:rPr>
        <w:footnoteReference w:id="9"/>
      </w:r>
      <w:r w:rsidRPr="00C61221">
        <w:rPr>
          <w:sz w:val="28"/>
          <w:szCs w:val="28"/>
          <w:lang w:eastAsia="zh-CN"/>
        </w:rPr>
        <w:t xml:space="preserve"> tất cả đã </w:t>
      </w:r>
      <w:r w:rsidRPr="00C61221">
        <w:rPr>
          <w:sz w:val="28"/>
          <w:szCs w:val="28"/>
          <w:lang w:val="vi-VN" w:eastAsia="zh-CN"/>
        </w:rPr>
        <w:t xml:space="preserve">đăng ký hoạt động theo Luật </w:t>
      </w:r>
      <w:r w:rsidRPr="00C61221">
        <w:rPr>
          <w:sz w:val="28"/>
          <w:szCs w:val="28"/>
          <w:lang w:eastAsia="zh-CN"/>
        </w:rPr>
        <w:t>HTX</w:t>
      </w:r>
      <w:r w:rsidRPr="00C61221">
        <w:rPr>
          <w:sz w:val="28"/>
          <w:szCs w:val="28"/>
          <w:lang w:val="vi-VN" w:eastAsia="zh-CN"/>
        </w:rPr>
        <w:t xml:space="preserve"> năm 2012.</w:t>
      </w:r>
    </w:p>
    <w:p w:rsidR="004517D4" w:rsidRPr="00C61221" w:rsidRDefault="004517D4" w:rsidP="00C61221">
      <w:pPr>
        <w:spacing w:before="60" w:after="60"/>
        <w:ind w:firstLine="720"/>
        <w:jc w:val="center"/>
        <w:rPr>
          <w:i/>
          <w:sz w:val="28"/>
          <w:szCs w:val="28"/>
          <w:lang w:val="vi-VN" w:eastAsia="zh-CN"/>
        </w:rPr>
      </w:pPr>
      <w:r w:rsidRPr="00C61221">
        <w:rPr>
          <w:i/>
          <w:sz w:val="28"/>
          <w:szCs w:val="28"/>
          <w:lang w:val="vi-VN" w:eastAsia="zh-CN"/>
        </w:rPr>
        <w:t xml:space="preserve">(Chi tiết Phụ lục </w:t>
      </w:r>
      <w:r w:rsidR="00DF5F21">
        <w:rPr>
          <w:i/>
          <w:sz w:val="28"/>
          <w:szCs w:val="28"/>
          <w:lang w:eastAsia="zh-CN"/>
        </w:rPr>
        <w:t>II</w:t>
      </w:r>
      <w:r w:rsidRPr="00C61221">
        <w:rPr>
          <w:i/>
          <w:sz w:val="28"/>
          <w:szCs w:val="28"/>
          <w:lang w:eastAsia="zh-CN"/>
        </w:rPr>
        <w:t>- đính kèm</w:t>
      </w:r>
      <w:r w:rsidRPr="00C61221">
        <w:rPr>
          <w:i/>
          <w:sz w:val="28"/>
          <w:szCs w:val="28"/>
          <w:lang w:val="vi-VN" w:eastAsia="zh-CN"/>
        </w:rPr>
        <w:t>)</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 xml:space="preserve">c) </w:t>
      </w:r>
      <w:r w:rsidRPr="00C61221">
        <w:rPr>
          <w:i/>
          <w:sz w:val="28"/>
          <w:szCs w:val="28"/>
          <w:lang w:val="vi-VN" w:eastAsia="zh-CN"/>
        </w:rPr>
        <w:t>Tình hình chuyển đổi hợp tác xã sang loại hình tổ chức khác</w:t>
      </w:r>
    </w:p>
    <w:p w:rsidR="004517D4" w:rsidRPr="00C61221" w:rsidRDefault="004517D4" w:rsidP="00C61221">
      <w:pPr>
        <w:spacing w:before="60" w:after="60"/>
        <w:ind w:firstLine="720"/>
        <w:jc w:val="both"/>
        <w:rPr>
          <w:i/>
          <w:sz w:val="28"/>
          <w:szCs w:val="28"/>
          <w:lang w:eastAsia="zh-CN"/>
        </w:rPr>
      </w:pPr>
      <w:r w:rsidRPr="00C61221">
        <w:rPr>
          <w:sz w:val="28"/>
          <w:szCs w:val="28"/>
          <w:lang w:val="vi-VN" w:eastAsia="zh-CN"/>
        </w:rPr>
        <w:t xml:space="preserve">Đối với những HTX hoạt động không đúng bản chất của Luật </w:t>
      </w:r>
      <w:r w:rsidRPr="00C61221">
        <w:rPr>
          <w:sz w:val="28"/>
          <w:szCs w:val="28"/>
          <w:lang w:eastAsia="zh-CN"/>
        </w:rPr>
        <w:t xml:space="preserve">HTX </w:t>
      </w:r>
      <w:r w:rsidRPr="00C61221">
        <w:rPr>
          <w:sz w:val="28"/>
          <w:szCs w:val="28"/>
          <w:lang w:val="vi-VN" w:eastAsia="zh-CN"/>
        </w:rPr>
        <w:t>năm 2012, Uỷ ban nhân dân Tỉnh đã chỉ đạo UBND cấp huyện tuyên truyền và vận động các HTX chuyển đổi sang hình thức tổ chức khác (tổ hợp tác</w:t>
      </w:r>
      <w:r w:rsidR="00C44F09">
        <w:rPr>
          <w:sz w:val="28"/>
          <w:szCs w:val="28"/>
          <w:lang w:eastAsia="zh-CN"/>
        </w:rPr>
        <w:t xml:space="preserve"> (THT)</w:t>
      </w:r>
      <w:r w:rsidRPr="00C61221">
        <w:rPr>
          <w:sz w:val="28"/>
          <w:szCs w:val="28"/>
          <w:lang w:val="vi-VN" w:eastAsia="zh-CN"/>
        </w:rPr>
        <w:t>, doanh nghiệp).</w:t>
      </w:r>
    </w:p>
    <w:p w:rsidR="004517D4" w:rsidRPr="00C61221" w:rsidRDefault="004517D4" w:rsidP="00C61221">
      <w:pPr>
        <w:spacing w:before="60" w:after="60"/>
        <w:ind w:firstLine="720"/>
        <w:jc w:val="both"/>
        <w:rPr>
          <w:i/>
          <w:sz w:val="28"/>
          <w:szCs w:val="28"/>
          <w:lang w:val="vi-VN" w:eastAsia="zh-CN"/>
        </w:rPr>
      </w:pPr>
      <w:r w:rsidRPr="00C61221">
        <w:rPr>
          <w:sz w:val="28"/>
          <w:szCs w:val="28"/>
          <w:lang w:val="vi-VN" w:eastAsia="zh-CN"/>
        </w:rPr>
        <w:t>Từ ngày 01/7/2013, đã có 20 HTX chuyển sang loại hình tổ chức khác.</w:t>
      </w:r>
    </w:p>
    <w:p w:rsidR="004517D4" w:rsidRPr="00C61221" w:rsidRDefault="004517D4" w:rsidP="00C61221">
      <w:pPr>
        <w:spacing w:before="60" w:after="60"/>
        <w:ind w:firstLine="720"/>
        <w:jc w:val="center"/>
        <w:rPr>
          <w:i/>
          <w:sz w:val="28"/>
          <w:szCs w:val="28"/>
          <w:lang w:eastAsia="zh-CN"/>
        </w:rPr>
      </w:pPr>
      <w:r w:rsidRPr="00C61221">
        <w:rPr>
          <w:i/>
          <w:sz w:val="28"/>
          <w:szCs w:val="28"/>
          <w:lang w:val="vi-VN" w:eastAsia="zh-CN"/>
        </w:rPr>
        <w:t xml:space="preserve">(Chi tiết Phụ lục </w:t>
      </w:r>
      <w:r w:rsidR="00DF5F21">
        <w:rPr>
          <w:i/>
          <w:sz w:val="28"/>
          <w:szCs w:val="28"/>
          <w:lang w:eastAsia="zh-CN"/>
        </w:rPr>
        <w:t>II</w:t>
      </w:r>
      <w:r w:rsidRPr="00C61221">
        <w:rPr>
          <w:i/>
          <w:sz w:val="28"/>
          <w:szCs w:val="28"/>
          <w:lang w:eastAsia="zh-CN"/>
        </w:rPr>
        <w:t>- đính kèm</w:t>
      </w:r>
      <w:r w:rsidRPr="00C61221">
        <w:rPr>
          <w:i/>
          <w:sz w:val="28"/>
          <w:szCs w:val="28"/>
          <w:lang w:val="vi-VN" w:eastAsia="zh-CN"/>
        </w:rPr>
        <w:t>)</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d)</w:t>
      </w:r>
      <w:r w:rsidRPr="00C61221">
        <w:rPr>
          <w:i/>
          <w:sz w:val="28"/>
          <w:szCs w:val="28"/>
          <w:lang w:val="vi-VN" w:eastAsia="zh-CN"/>
        </w:rPr>
        <w:t xml:space="preserve"> Tình hình giải thể </w:t>
      </w:r>
      <w:r w:rsidRPr="00C61221">
        <w:rPr>
          <w:i/>
          <w:sz w:val="28"/>
          <w:szCs w:val="28"/>
          <w:lang w:eastAsia="zh-CN"/>
        </w:rPr>
        <w:t>HTX</w:t>
      </w:r>
      <w:r w:rsidRPr="00C61221">
        <w:rPr>
          <w:i/>
          <w:sz w:val="28"/>
          <w:szCs w:val="28"/>
          <w:lang w:val="vi-VN" w:eastAsia="zh-CN"/>
        </w:rPr>
        <w:t xml:space="preserve"> theo quy định tại Điều 54 Luật </w:t>
      </w:r>
      <w:r w:rsidRPr="00C61221">
        <w:rPr>
          <w:i/>
          <w:sz w:val="28"/>
          <w:szCs w:val="28"/>
          <w:lang w:eastAsia="zh-CN"/>
        </w:rPr>
        <w:t>HTX năm 2012</w:t>
      </w:r>
      <w:r w:rsidRPr="00C61221">
        <w:rPr>
          <w:i/>
          <w:sz w:val="28"/>
          <w:szCs w:val="28"/>
          <w:lang w:val="vi-VN" w:eastAsia="zh-CN"/>
        </w:rPr>
        <w:t xml:space="preserve"> </w:t>
      </w:r>
    </w:p>
    <w:p w:rsidR="004517D4" w:rsidRPr="00C61221" w:rsidRDefault="004517D4" w:rsidP="00C61221">
      <w:pPr>
        <w:spacing w:before="60" w:after="60"/>
        <w:ind w:firstLine="720"/>
        <w:jc w:val="both"/>
        <w:rPr>
          <w:i/>
          <w:sz w:val="28"/>
          <w:szCs w:val="28"/>
          <w:lang w:eastAsia="zh-CN"/>
        </w:rPr>
      </w:pPr>
      <w:r w:rsidRPr="00C61221">
        <w:rPr>
          <w:sz w:val="28"/>
          <w:szCs w:val="28"/>
          <w:lang w:val="vi-VN" w:eastAsia="zh-CN"/>
        </w:rPr>
        <w:t xml:space="preserve">Căn cứ Kế hoạch 99/KH-UBND ngày 15/7/2014 về chuyển đổi các HTX hoạt động theo Luật </w:t>
      </w:r>
      <w:r w:rsidRPr="00C61221">
        <w:rPr>
          <w:sz w:val="28"/>
          <w:szCs w:val="28"/>
          <w:lang w:eastAsia="zh-CN"/>
        </w:rPr>
        <w:t>HTX</w:t>
      </w:r>
      <w:r w:rsidRPr="00C61221">
        <w:rPr>
          <w:sz w:val="28"/>
          <w:szCs w:val="28"/>
          <w:lang w:val="vi-VN" w:eastAsia="zh-CN"/>
        </w:rPr>
        <w:t xml:space="preserve"> năm 2012, UBND tỉnh Đồng Tháp đã chỉ đạo rà soát, đánh giá về tình hình hoạt động, số lượng thành viên, vốn điều lệ…..nhằm đánh giá tình hình hoạt động và bản chất của </w:t>
      </w:r>
      <w:r w:rsidRPr="00C61221">
        <w:rPr>
          <w:sz w:val="28"/>
          <w:szCs w:val="28"/>
          <w:lang w:eastAsia="zh-CN"/>
        </w:rPr>
        <w:t>HTX</w:t>
      </w:r>
      <w:r w:rsidRPr="00C61221">
        <w:rPr>
          <w:sz w:val="28"/>
          <w:szCs w:val="28"/>
          <w:lang w:val="vi-VN" w:eastAsia="zh-CN"/>
        </w:rPr>
        <w:t xml:space="preserve">, từ đó tuyên tuyền, vận động giải thể các HTX hoạt động kém hiệu quả, tồn tại mang tính hình thức hoặc không </w:t>
      </w:r>
      <w:r w:rsidRPr="00C61221">
        <w:rPr>
          <w:sz w:val="28"/>
          <w:szCs w:val="28"/>
          <w:lang w:val="vi-VN" w:eastAsia="zh-CN"/>
        </w:rPr>
        <w:lastRenderedPageBreak/>
        <w:t xml:space="preserve">hoạt động, không thể tổ chức lại hoạt động cho phù hợp Luật </w:t>
      </w:r>
      <w:r w:rsidRPr="00C61221">
        <w:rPr>
          <w:sz w:val="28"/>
          <w:szCs w:val="28"/>
          <w:lang w:eastAsia="zh-CN"/>
        </w:rPr>
        <w:t>HTX năm</w:t>
      </w:r>
      <w:r w:rsidRPr="00C61221">
        <w:rPr>
          <w:sz w:val="28"/>
          <w:szCs w:val="28"/>
          <w:lang w:val="vi-VN" w:eastAsia="zh-CN"/>
        </w:rPr>
        <w:t xml:space="preserve"> 2012, tạo mọi điều kiện thuận lợi để </w:t>
      </w:r>
      <w:r w:rsidRPr="00C61221">
        <w:rPr>
          <w:sz w:val="28"/>
          <w:szCs w:val="28"/>
          <w:lang w:eastAsia="zh-CN"/>
        </w:rPr>
        <w:t>HTX</w:t>
      </w:r>
      <w:r w:rsidRPr="00C61221">
        <w:rPr>
          <w:sz w:val="28"/>
          <w:szCs w:val="28"/>
          <w:lang w:val="vi-VN" w:eastAsia="zh-CN"/>
        </w:rPr>
        <w:t xml:space="preserve"> giải thể chuyển sang hình thức khác. </w:t>
      </w:r>
    </w:p>
    <w:p w:rsidR="004517D4" w:rsidRPr="00C61221" w:rsidRDefault="004517D4" w:rsidP="00C61221">
      <w:pPr>
        <w:widowControl w:val="0"/>
        <w:autoSpaceDE w:val="0"/>
        <w:autoSpaceDN w:val="0"/>
        <w:spacing w:before="60" w:after="60"/>
        <w:ind w:firstLine="709"/>
        <w:jc w:val="both"/>
        <w:rPr>
          <w:spacing w:val="3"/>
          <w:sz w:val="28"/>
          <w:szCs w:val="28"/>
          <w:lang w:eastAsia="zh-CN"/>
        </w:rPr>
      </w:pPr>
      <w:r w:rsidRPr="00C61221">
        <w:rPr>
          <w:sz w:val="28"/>
          <w:szCs w:val="28"/>
          <w:lang w:eastAsia="zh-CN"/>
        </w:rPr>
        <w:t>G</w:t>
      </w:r>
      <w:r w:rsidRPr="00C61221">
        <w:rPr>
          <w:sz w:val="28"/>
          <w:szCs w:val="28"/>
          <w:lang w:val="vi-VN" w:eastAsia="zh-CN"/>
        </w:rPr>
        <w:t>iai đoạn 2013-2021</w:t>
      </w:r>
      <w:r w:rsidRPr="00C61221">
        <w:rPr>
          <w:sz w:val="28"/>
          <w:szCs w:val="28"/>
          <w:lang w:eastAsia="zh-CN"/>
        </w:rPr>
        <w:t xml:space="preserve">, </w:t>
      </w:r>
      <w:r w:rsidRPr="00C61221">
        <w:rPr>
          <w:sz w:val="28"/>
          <w:szCs w:val="28"/>
          <w:lang w:val="vi-VN" w:eastAsia="zh-CN"/>
        </w:rPr>
        <w:t xml:space="preserve">Tỉnh đã thực hiện giải thể </w:t>
      </w:r>
      <w:r w:rsidRPr="00C61221">
        <w:rPr>
          <w:sz w:val="28"/>
          <w:szCs w:val="28"/>
          <w:lang w:eastAsia="zh-CN"/>
        </w:rPr>
        <w:t>hơn 90 HTX, theo quy định tại Điều 54 Luật HTX năm 2012.</w:t>
      </w:r>
    </w:p>
    <w:p w:rsidR="004517D4" w:rsidRPr="00C61221" w:rsidRDefault="004517D4" w:rsidP="00C61221">
      <w:pPr>
        <w:widowControl w:val="0"/>
        <w:autoSpaceDE w:val="0"/>
        <w:autoSpaceDN w:val="0"/>
        <w:spacing w:before="60" w:after="60"/>
        <w:ind w:firstLine="709"/>
        <w:jc w:val="center"/>
        <w:rPr>
          <w:spacing w:val="3"/>
          <w:sz w:val="28"/>
          <w:szCs w:val="28"/>
          <w:lang w:eastAsia="zh-CN"/>
        </w:rPr>
      </w:pPr>
      <w:r w:rsidRPr="00C61221">
        <w:rPr>
          <w:sz w:val="28"/>
          <w:szCs w:val="28"/>
          <w:lang w:val="vi-VN" w:eastAsia="zh-CN"/>
        </w:rPr>
        <w:t>(</w:t>
      </w:r>
      <w:r w:rsidRPr="00C61221">
        <w:rPr>
          <w:i/>
          <w:sz w:val="28"/>
          <w:szCs w:val="28"/>
          <w:lang w:val="vi-VN" w:eastAsia="zh-CN"/>
        </w:rPr>
        <w:t xml:space="preserve">Chi tiết </w:t>
      </w:r>
      <w:r w:rsidRPr="00C61221">
        <w:rPr>
          <w:i/>
          <w:sz w:val="28"/>
          <w:szCs w:val="28"/>
          <w:lang w:eastAsia="zh-CN"/>
        </w:rPr>
        <w:t xml:space="preserve">Phụ lục </w:t>
      </w:r>
      <w:r w:rsidR="00DF5F21">
        <w:rPr>
          <w:i/>
          <w:sz w:val="28"/>
          <w:szCs w:val="28"/>
          <w:lang w:eastAsia="zh-CN"/>
        </w:rPr>
        <w:t>IV</w:t>
      </w:r>
      <w:r w:rsidRPr="00C61221">
        <w:rPr>
          <w:i/>
          <w:sz w:val="28"/>
          <w:szCs w:val="28"/>
          <w:lang w:eastAsia="zh-CN"/>
        </w:rPr>
        <w:t>- đính kèm)</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e)  Việc xử lý các hành vi vi phạm pháp luật của HTX và các cá nhân, tổ chức có liên quan theo quy định của pháp luật trên địa bàn:</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Đối với nợ thuế: </w:t>
      </w:r>
      <w:r w:rsidR="00C44F09">
        <w:rPr>
          <w:sz w:val="28"/>
          <w:szCs w:val="28"/>
          <w:lang w:eastAsia="zh-CN"/>
        </w:rPr>
        <w:t>c</w:t>
      </w:r>
      <w:r w:rsidRPr="00C61221">
        <w:rPr>
          <w:sz w:val="28"/>
          <w:szCs w:val="28"/>
          <w:lang w:eastAsia="zh-CN"/>
        </w:rPr>
        <w:t>ơ quan thuế thực hiện cưỡng chế bằng biện pháp đề nghị thu hồi Giấy chứng nhận đăng ký HTX</w:t>
      </w:r>
      <w:r w:rsidR="00C44F09">
        <w:rPr>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Đối với các hành vi khác, tùy mức độ vi phạm mà tiến hành xử phạt vi phạm hành chính, nhưng chủ yếu là nhắc nhở HTX khắc phục (nếu có)</w:t>
      </w:r>
      <w:r w:rsidR="00C44F09">
        <w:rPr>
          <w:sz w:val="28"/>
          <w:szCs w:val="28"/>
          <w:lang w:eastAsia="zh-CN"/>
        </w:rPr>
        <w:t>.</w:t>
      </w:r>
      <w:r w:rsidRPr="00C61221">
        <w:rPr>
          <w:sz w:val="28"/>
          <w:szCs w:val="28"/>
          <w:lang w:eastAsia="zh-CN"/>
        </w:rPr>
        <w:t xml:space="preserve"> </w:t>
      </w:r>
    </w:p>
    <w:p w:rsidR="004517D4" w:rsidRPr="00C61221" w:rsidRDefault="004517D4" w:rsidP="00C61221">
      <w:pPr>
        <w:spacing w:before="60" w:after="60"/>
        <w:ind w:firstLine="720"/>
        <w:jc w:val="both"/>
        <w:rPr>
          <w:sz w:val="28"/>
          <w:szCs w:val="28"/>
          <w:lang w:val="vi-VN" w:eastAsia="zh-CN"/>
        </w:rPr>
      </w:pPr>
      <w:r w:rsidRPr="00C61221">
        <w:rPr>
          <w:sz w:val="28"/>
          <w:szCs w:val="28"/>
          <w:lang w:eastAsia="zh-CN"/>
        </w:rPr>
        <w:t>- Liên minh HTX Tỉnh phối hợp với UBND huyện</w:t>
      </w:r>
      <w:r w:rsidR="00AD1DAE">
        <w:rPr>
          <w:sz w:val="28"/>
          <w:szCs w:val="28"/>
          <w:lang w:eastAsia="zh-CN"/>
        </w:rPr>
        <w:t>, thành phố</w:t>
      </w:r>
      <w:r w:rsidRPr="00C61221">
        <w:rPr>
          <w:sz w:val="28"/>
          <w:szCs w:val="28"/>
          <w:lang w:val="vi-VN" w:eastAsia="zh-CN"/>
        </w:rPr>
        <w:t xml:space="preserve"> giải quyết đơn thư khiếu nại về tình hình s</w:t>
      </w:r>
      <w:r w:rsidRPr="00C61221">
        <w:rPr>
          <w:sz w:val="28"/>
          <w:szCs w:val="28"/>
          <w:lang w:eastAsia="zh-CN"/>
        </w:rPr>
        <w:t>ử</w:t>
      </w:r>
      <w:r w:rsidRPr="00C61221">
        <w:rPr>
          <w:sz w:val="28"/>
          <w:szCs w:val="28"/>
          <w:lang w:val="vi-VN" w:eastAsia="zh-CN"/>
        </w:rPr>
        <w:t xml:space="preserve"> dụng tài sản và cách thức quản lý điều hành của 02 HTXNN</w:t>
      </w:r>
      <w:r w:rsidRPr="00C61221">
        <w:rPr>
          <w:sz w:val="28"/>
          <w:szCs w:val="28"/>
          <w:vertAlign w:val="superscript"/>
          <w:lang w:eastAsia="zh-CN"/>
        </w:rPr>
        <w:t>(</w:t>
      </w:r>
      <w:r w:rsidRPr="00C61221">
        <w:rPr>
          <w:sz w:val="28"/>
          <w:szCs w:val="28"/>
          <w:vertAlign w:val="superscript"/>
          <w:lang w:val="vi-VN" w:eastAsia="zh-CN"/>
        </w:rPr>
        <w:footnoteReference w:id="10"/>
      </w:r>
      <w:r w:rsidRPr="00C61221">
        <w:rPr>
          <w:sz w:val="28"/>
          <w:szCs w:val="28"/>
          <w:vertAlign w:val="superscript"/>
          <w:lang w:eastAsia="zh-CN"/>
        </w:rPr>
        <w:t>)</w:t>
      </w:r>
      <w:r w:rsidRPr="00C61221">
        <w:rPr>
          <w:sz w:val="28"/>
          <w:szCs w:val="28"/>
          <w:vertAlign w:val="superscript"/>
          <w:lang w:val="vi-VN" w:eastAsia="zh-CN"/>
        </w:rPr>
        <w:t xml:space="preserve">. </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 xml:space="preserve">f)Công tác thanh tra, kiểm tra việc thực hiện công tác quản lý nhà nước đối với KTTT, HTX </w:t>
      </w:r>
    </w:p>
    <w:p w:rsidR="004517D4" w:rsidRPr="00C61221" w:rsidRDefault="004517D4" w:rsidP="00C61221">
      <w:pPr>
        <w:spacing w:before="60" w:after="60"/>
        <w:ind w:firstLine="720"/>
        <w:jc w:val="both"/>
        <w:rPr>
          <w:sz w:val="28"/>
          <w:szCs w:val="28"/>
          <w:lang w:eastAsia="zh-CN"/>
        </w:rPr>
      </w:pPr>
      <w:r w:rsidRPr="00C61221">
        <w:rPr>
          <w:bCs/>
          <w:sz w:val="28"/>
          <w:szCs w:val="28"/>
          <w:lang w:eastAsia="zh-CN"/>
        </w:rPr>
        <w:t xml:space="preserve">- </w:t>
      </w:r>
      <w:r w:rsidRPr="00C61221">
        <w:rPr>
          <w:bCs/>
          <w:sz w:val="28"/>
          <w:szCs w:val="28"/>
          <w:lang w:val="zu-ZA" w:eastAsia="zh-CN"/>
        </w:rPr>
        <w:t>Hàng</w:t>
      </w:r>
      <w:r w:rsidRPr="00C61221">
        <w:rPr>
          <w:sz w:val="28"/>
          <w:szCs w:val="28"/>
          <w:lang w:val="zu-ZA" w:eastAsia="zh-CN"/>
        </w:rPr>
        <w:t xml:space="preserve"> năm, </w:t>
      </w:r>
      <w:r w:rsidRPr="00C61221">
        <w:rPr>
          <w:sz w:val="28"/>
          <w:szCs w:val="28"/>
          <w:lang w:eastAsia="zh-CN"/>
        </w:rPr>
        <w:t>Ban chỉ đạo</w:t>
      </w:r>
      <w:r w:rsidRPr="00C61221">
        <w:rPr>
          <w:sz w:val="28"/>
          <w:szCs w:val="28"/>
          <w:lang w:val="vi-VN" w:eastAsia="zh-CN"/>
        </w:rPr>
        <w:t xml:space="preserve"> KTTT</w:t>
      </w:r>
      <w:r w:rsidRPr="00C61221">
        <w:rPr>
          <w:sz w:val="28"/>
          <w:szCs w:val="28"/>
          <w:lang w:eastAsia="zh-CN"/>
        </w:rPr>
        <w:t xml:space="preserve"> cấp huyện cử các thành viên Ban chỉ đạo đến dự tổng kết, Hội nghị thường niên ở các HTX từ đó nắm bắt kịp thời tình hình hoạt động của các HTX để có hướng dẫn, chấn chỉnh các hoạt động chưa phù hợp theo Nghị quyết của Đại hội trước đã đề ra.</w:t>
      </w:r>
    </w:p>
    <w:p w:rsidR="004517D4" w:rsidRPr="00C61221" w:rsidRDefault="004517D4" w:rsidP="00C61221">
      <w:pPr>
        <w:spacing w:before="60" w:after="60"/>
        <w:ind w:firstLine="720"/>
        <w:jc w:val="both"/>
        <w:rPr>
          <w:sz w:val="28"/>
          <w:szCs w:val="28"/>
          <w:lang w:val="nl-NL" w:eastAsia="zh-CN"/>
        </w:rPr>
      </w:pPr>
      <w:r w:rsidRPr="00C61221">
        <w:rPr>
          <w:sz w:val="28"/>
          <w:szCs w:val="28"/>
          <w:lang w:val="vi-VN" w:eastAsia="zh-CN"/>
        </w:rPr>
        <w:t xml:space="preserve">- </w:t>
      </w:r>
      <w:r w:rsidRPr="00C61221">
        <w:rPr>
          <w:sz w:val="28"/>
          <w:szCs w:val="28"/>
          <w:lang w:val="zu-ZA" w:eastAsia="zh-CN"/>
        </w:rPr>
        <w:t>Tổ chức đoàn k</w:t>
      </w:r>
      <w:r w:rsidRPr="00C61221">
        <w:rPr>
          <w:sz w:val="28"/>
          <w:szCs w:val="28"/>
          <w:lang w:val="nl-NL" w:eastAsia="zh-CN"/>
        </w:rPr>
        <w:t xml:space="preserve">iểm tra tình hình hoạt động của các HTX, việc thực hiện quy định của Luật </w:t>
      </w:r>
      <w:r w:rsidR="00AD1DAE">
        <w:rPr>
          <w:sz w:val="28"/>
          <w:szCs w:val="28"/>
          <w:lang w:val="nl-NL" w:eastAsia="zh-CN"/>
        </w:rPr>
        <w:t>HTX</w:t>
      </w:r>
      <w:r w:rsidR="00AD1DAE">
        <w:rPr>
          <w:sz w:val="28"/>
          <w:szCs w:val="28"/>
          <w:vertAlign w:val="superscript"/>
          <w:lang w:val="nl-NL" w:eastAsia="zh-CN"/>
        </w:rPr>
        <w:t>(</w:t>
      </w:r>
      <w:r w:rsidRPr="00C61221">
        <w:rPr>
          <w:sz w:val="28"/>
          <w:szCs w:val="28"/>
          <w:vertAlign w:val="superscript"/>
          <w:lang w:val="nl-NL" w:eastAsia="zh-CN"/>
        </w:rPr>
        <w:footnoteReference w:id="11"/>
      </w:r>
      <w:r w:rsidRPr="00C61221">
        <w:rPr>
          <w:sz w:val="28"/>
          <w:szCs w:val="28"/>
          <w:vertAlign w:val="superscript"/>
          <w:lang w:val="nl-NL" w:eastAsia="zh-CN"/>
        </w:rPr>
        <w:t>)</w:t>
      </w:r>
      <w:r w:rsidRPr="00C61221">
        <w:rPr>
          <w:sz w:val="28"/>
          <w:szCs w:val="28"/>
          <w:lang w:val="nl-NL" w:eastAsia="zh-CN"/>
        </w:rPr>
        <w:t xml:space="preserve">.Qua đó, chỉ ra những hạn chế tồn tại để HTX khắc phục hoạt động tốt hơn trong thời gian tới; đối với các HTX ngừng hoạt động nhiều năm xác định nguyên nhân, phân loại và đề ra biện pháp, kế hoạch thực hiện xử lý theo quy định. </w:t>
      </w:r>
    </w:p>
    <w:p w:rsidR="004517D4" w:rsidRPr="00C61221" w:rsidRDefault="004517D4" w:rsidP="00C61221">
      <w:pPr>
        <w:spacing w:before="60" w:after="60"/>
        <w:ind w:firstLine="720"/>
        <w:jc w:val="both"/>
        <w:rPr>
          <w:bCs/>
          <w:sz w:val="28"/>
          <w:szCs w:val="28"/>
          <w:lang w:eastAsia="zh-CN"/>
        </w:rPr>
      </w:pPr>
      <w:r w:rsidRPr="00C61221">
        <w:rPr>
          <w:sz w:val="28"/>
          <w:szCs w:val="28"/>
          <w:lang w:val="vi-VN" w:eastAsia="zh-CN"/>
        </w:rPr>
        <w:t xml:space="preserve">- </w:t>
      </w:r>
      <w:r w:rsidRPr="00C61221">
        <w:rPr>
          <w:sz w:val="28"/>
          <w:szCs w:val="28"/>
          <w:lang w:eastAsia="zh-CN"/>
        </w:rPr>
        <w:t>T</w:t>
      </w:r>
      <w:r w:rsidRPr="00C61221">
        <w:rPr>
          <w:sz w:val="28"/>
          <w:szCs w:val="28"/>
          <w:lang w:val="nl-NL" w:eastAsia="zh-CN"/>
        </w:rPr>
        <w:t xml:space="preserve">hành lập Tổ tư vấn KTTT cấp Tỉnh </w:t>
      </w:r>
      <w:r w:rsidRPr="00C61221">
        <w:rPr>
          <w:sz w:val="28"/>
          <w:szCs w:val="28"/>
          <w:lang w:val="vi-VN" w:eastAsia="zh-CN"/>
        </w:rPr>
        <w:t xml:space="preserve">làm việc với địa phương để vận động, hướng dẫn thành lập mới </w:t>
      </w:r>
      <w:r w:rsidRPr="00C61221">
        <w:rPr>
          <w:sz w:val="28"/>
          <w:szCs w:val="28"/>
          <w:lang w:eastAsia="zh-CN"/>
        </w:rPr>
        <w:t>HTXNN, cũng như nắm bắt tình hình hỗ trợ phát triển KTTT trên địa bàn.</w:t>
      </w:r>
    </w:p>
    <w:p w:rsidR="004517D4" w:rsidRPr="00C61221" w:rsidRDefault="004517D4" w:rsidP="00C61221">
      <w:pPr>
        <w:spacing w:before="60" w:after="60"/>
        <w:ind w:firstLine="720"/>
        <w:jc w:val="both"/>
        <w:rPr>
          <w:sz w:val="28"/>
          <w:szCs w:val="28"/>
          <w:lang w:eastAsia="zh-CN"/>
        </w:rPr>
      </w:pPr>
      <w:r w:rsidRPr="00C61221">
        <w:rPr>
          <w:i/>
          <w:sz w:val="28"/>
          <w:szCs w:val="28"/>
          <w:lang w:eastAsia="zh-CN"/>
        </w:rPr>
        <w:t>g) Việc thực hiện chế độ báo cáo của các HTX, LHHTX, các cơ quan có liên quan theo quy định tại Thông tư số 03/2014/TT-BKHĐT ngày 26/5/2014 và Thông tư số 07/2019/TT-BKHĐT ngày 08/4/2019 về sửa đổi, bổ sung một số điều của Thông tư 03/2014/TT-BKHĐT; Thông tư số 01/2020/TT-BKHĐT ngày 19/2/2020 của Bộ Kế hoạch và Đầu tư về đánh giá phân loại HTX và các quy định hiện hành</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Chế độ báo cáo kết quả hoạt động hàng năm của HTX còn nhiều bất cập về thời gian</w:t>
      </w:r>
      <w:r w:rsidRPr="00C61221">
        <w:rPr>
          <w:sz w:val="28"/>
          <w:szCs w:val="28"/>
          <w:vertAlign w:val="superscript"/>
          <w:lang w:eastAsia="zh-CN"/>
        </w:rPr>
        <w:t>(</w:t>
      </w:r>
      <w:r w:rsidRPr="00C61221">
        <w:rPr>
          <w:sz w:val="28"/>
          <w:szCs w:val="28"/>
          <w:vertAlign w:val="superscript"/>
          <w:lang w:eastAsia="zh-CN"/>
        </w:rPr>
        <w:footnoteReference w:id="12"/>
      </w:r>
      <w:r w:rsidRPr="00C61221">
        <w:rPr>
          <w:sz w:val="28"/>
          <w:szCs w:val="28"/>
          <w:vertAlign w:val="superscript"/>
          <w:lang w:eastAsia="zh-CN"/>
        </w:rPr>
        <w:t>)</w:t>
      </w:r>
      <w:r w:rsidRPr="00C61221">
        <w:rPr>
          <w:sz w:val="28"/>
          <w:szCs w:val="28"/>
          <w:lang w:eastAsia="zh-CN"/>
        </w:rPr>
        <w:t xml:space="preserve">; một số HTX chưa thực hiện tốt công tác báo cáo, hoặc khi báo </w:t>
      </w:r>
      <w:r w:rsidRPr="00C61221">
        <w:rPr>
          <w:sz w:val="28"/>
          <w:szCs w:val="28"/>
          <w:lang w:eastAsia="zh-CN"/>
        </w:rPr>
        <w:lastRenderedPageBreak/>
        <w:t xml:space="preserve">cáo một số HTX xác định kết quả </w:t>
      </w:r>
      <w:r w:rsidR="009471B9">
        <w:rPr>
          <w:sz w:val="28"/>
          <w:szCs w:val="28"/>
          <w:lang w:eastAsia="zh-CN"/>
        </w:rPr>
        <w:t>sản xuất kinh doanh</w:t>
      </w:r>
      <w:r w:rsidRPr="00C61221">
        <w:rPr>
          <w:sz w:val="28"/>
          <w:szCs w:val="28"/>
          <w:lang w:eastAsia="zh-CN"/>
        </w:rPr>
        <w:t xml:space="preserve"> chưa đúng với thực tế, dẫn đến số liệu tổng hợp báo cáo không đầy đủ, chưa kịp thời và chưa chính xác nên đã ảnh hưởng phần nào đến kết quả đánh giá thực chất tình hình phát triển KTTT trên địa bàn.</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Ngoài ra hiện nay việc đánh giá, xếp loại HTX có đến 02 Thông tư điều chỉnh, theo đó Thông tư số 01/2020/TT-BKHĐT ngày 19/02/2020 của Bộ </w:t>
      </w:r>
      <w:r w:rsidR="009471B9">
        <w:rPr>
          <w:sz w:val="28"/>
          <w:szCs w:val="28"/>
          <w:lang w:eastAsia="zh-CN"/>
        </w:rPr>
        <w:t xml:space="preserve">trưởng Bộ </w:t>
      </w:r>
      <w:r w:rsidRPr="00C61221">
        <w:rPr>
          <w:sz w:val="28"/>
          <w:szCs w:val="28"/>
          <w:lang w:eastAsia="zh-CN"/>
        </w:rPr>
        <w:t xml:space="preserve">Kế hoạch và Đầu tư áp dụng chung cho tất cả các HTX, riêng đối với HTXNN thì còn phải đánh giá, xếp loại theo Thông tư 09/2017/TT-BNNPTNT của Bộ </w:t>
      </w:r>
      <w:r w:rsidR="009471B9">
        <w:rPr>
          <w:sz w:val="28"/>
          <w:szCs w:val="28"/>
          <w:lang w:eastAsia="zh-CN"/>
        </w:rPr>
        <w:t>trưởng Bộ Nông nghiệp</w:t>
      </w:r>
      <w:r w:rsidRPr="00C61221">
        <w:rPr>
          <w:sz w:val="28"/>
          <w:szCs w:val="28"/>
          <w:lang w:eastAsia="zh-CN"/>
        </w:rPr>
        <w:t xml:space="preserve"> và PTNT, điều này đã gây khó khăn, ảnh hưởng đến thời gian và chi phí của các HTX trong việc tuân thủ quy định.</w:t>
      </w:r>
    </w:p>
    <w:p w:rsidR="004517D4" w:rsidRPr="00C61221" w:rsidRDefault="004517D4" w:rsidP="00C61221">
      <w:pPr>
        <w:spacing w:before="60" w:after="60"/>
        <w:ind w:firstLine="720"/>
        <w:jc w:val="both"/>
        <w:rPr>
          <w:iCs/>
          <w:sz w:val="28"/>
          <w:szCs w:val="28"/>
          <w:lang w:val="de-DE" w:eastAsia="zh-CN"/>
        </w:rPr>
      </w:pPr>
      <w:r w:rsidRPr="00C61221">
        <w:rPr>
          <w:iCs/>
          <w:sz w:val="28"/>
          <w:szCs w:val="28"/>
          <w:lang w:val="de-DE" w:eastAsia="zh-CN"/>
        </w:rPr>
        <w:t xml:space="preserve">Đối với </w:t>
      </w:r>
      <w:r w:rsidR="009471B9">
        <w:rPr>
          <w:iCs/>
          <w:sz w:val="28"/>
          <w:szCs w:val="28"/>
          <w:lang w:val="de-DE" w:eastAsia="zh-CN"/>
        </w:rPr>
        <w:t>HTX</w:t>
      </w:r>
      <w:r w:rsidRPr="00C61221">
        <w:rPr>
          <w:iCs/>
          <w:sz w:val="28"/>
          <w:szCs w:val="28"/>
          <w:lang w:val="de-DE" w:eastAsia="zh-CN"/>
        </w:rPr>
        <w:t xml:space="preserve"> hoạt động trong lĩnh vực tín dụng (Quỹ tín dụng nhân dân) đánh giá, xếp loại theo quy định tại Thông tư số 42/2016/TT-NHNN ngày 30/12/2016 của </w:t>
      </w:r>
      <w:r w:rsidR="009471B9">
        <w:rPr>
          <w:iCs/>
          <w:sz w:val="28"/>
          <w:szCs w:val="28"/>
          <w:lang w:val="de-DE" w:eastAsia="zh-CN"/>
        </w:rPr>
        <w:t xml:space="preserve">Thống đốc </w:t>
      </w:r>
      <w:r w:rsidRPr="00C61221">
        <w:rPr>
          <w:iCs/>
          <w:sz w:val="28"/>
          <w:szCs w:val="28"/>
          <w:lang w:val="de-DE" w:eastAsia="zh-CN"/>
        </w:rPr>
        <w:t>Ngân hàng nhà nước Việt Nam quy định về xếp hạng Quỹ tín dụng nhân dân và được sửa đổi, bổ sung một số điều tại Thông tư số 05/2021/TT-NHNN ngày 11/6/2021, có hiệu lực ngày 01/8/2021.</w:t>
      </w:r>
    </w:p>
    <w:p w:rsidR="004517D4" w:rsidRPr="00C61221" w:rsidRDefault="004517D4" w:rsidP="00C61221">
      <w:pPr>
        <w:spacing w:before="60" w:after="60"/>
        <w:ind w:firstLine="720"/>
        <w:jc w:val="both"/>
        <w:rPr>
          <w:b/>
          <w:iCs/>
          <w:sz w:val="28"/>
          <w:szCs w:val="28"/>
          <w:lang w:val="de-DE" w:eastAsia="zh-CN"/>
        </w:rPr>
      </w:pPr>
      <w:r w:rsidRPr="00C61221">
        <w:rPr>
          <w:b/>
          <w:iCs/>
          <w:sz w:val="28"/>
          <w:szCs w:val="28"/>
          <w:lang w:val="de-DE" w:eastAsia="zh-CN"/>
        </w:rPr>
        <w:t>4. Tình hình thực hiện chính sách hỗ trợ, ưu đãi của Nhà nước.</w:t>
      </w:r>
    </w:p>
    <w:p w:rsidR="004517D4" w:rsidRPr="00C61221" w:rsidRDefault="004517D4" w:rsidP="00C61221">
      <w:pPr>
        <w:adjustRightInd w:val="0"/>
        <w:snapToGrid w:val="0"/>
        <w:spacing w:before="60" w:after="60"/>
        <w:ind w:firstLine="720"/>
        <w:jc w:val="both"/>
        <w:rPr>
          <w:i/>
          <w:sz w:val="28"/>
          <w:szCs w:val="28"/>
          <w:lang w:eastAsia="zh-CN"/>
        </w:rPr>
      </w:pPr>
      <w:r w:rsidRPr="00C61221">
        <w:rPr>
          <w:i/>
          <w:sz w:val="28"/>
          <w:szCs w:val="28"/>
          <w:lang w:val="vi-VN" w:eastAsia="zh-CN"/>
        </w:rPr>
        <w:t>4.1</w:t>
      </w:r>
      <w:r w:rsidRPr="00C61221">
        <w:rPr>
          <w:i/>
          <w:sz w:val="28"/>
          <w:szCs w:val="28"/>
          <w:lang w:eastAsia="zh-CN"/>
        </w:rPr>
        <w:t xml:space="preserve"> </w:t>
      </w:r>
      <w:r w:rsidRPr="00C61221">
        <w:rPr>
          <w:i/>
          <w:sz w:val="28"/>
          <w:szCs w:val="28"/>
          <w:lang w:val="vi-VN" w:eastAsia="zh-CN"/>
        </w:rPr>
        <w:t xml:space="preserve">Tình hình đăng ký, phân bổ vốn đầu tư công, vốn sự nghiệp, các chương trình mục tiêu quốc gia, vốn ngân sách nhà nước khác của bộ, ngành, địa phương cho khu vực KTTT, HTX từ năm 2013 đến năm 2021. </w:t>
      </w:r>
    </w:p>
    <w:p w:rsidR="004517D4" w:rsidRPr="00C61221" w:rsidRDefault="004517D4" w:rsidP="00C61221">
      <w:pPr>
        <w:adjustRightInd w:val="0"/>
        <w:snapToGrid w:val="0"/>
        <w:spacing w:before="60" w:after="60"/>
        <w:ind w:firstLine="720"/>
        <w:jc w:val="both"/>
        <w:rPr>
          <w:sz w:val="28"/>
          <w:szCs w:val="28"/>
          <w:lang w:eastAsia="zh-CN"/>
        </w:rPr>
      </w:pPr>
      <w:r w:rsidRPr="00C61221">
        <w:rPr>
          <w:i/>
          <w:sz w:val="28"/>
          <w:szCs w:val="28"/>
          <w:lang w:eastAsia="zh-CN"/>
        </w:rPr>
        <w:t>a) Vốn sự nghiệp ngân sách địa phương</w:t>
      </w:r>
      <w:r w:rsidRPr="00C61221">
        <w:rPr>
          <w:sz w:val="28"/>
          <w:szCs w:val="28"/>
          <w:lang w:eastAsia="zh-CN"/>
        </w:rPr>
        <w:t xml:space="preserve"> bố trí 17.525 triệu đồng. </w:t>
      </w:r>
    </w:p>
    <w:p w:rsidR="004517D4" w:rsidRPr="00C61221" w:rsidRDefault="004517D4" w:rsidP="00C61221">
      <w:pPr>
        <w:adjustRightInd w:val="0"/>
        <w:snapToGrid w:val="0"/>
        <w:spacing w:before="60" w:after="60"/>
        <w:ind w:firstLine="720"/>
        <w:jc w:val="both"/>
        <w:rPr>
          <w:sz w:val="28"/>
          <w:szCs w:val="28"/>
          <w:lang w:eastAsia="zh-CN"/>
        </w:rPr>
      </w:pPr>
      <w:r w:rsidRPr="00C61221">
        <w:rPr>
          <w:sz w:val="28"/>
          <w:szCs w:val="28"/>
          <w:lang w:eastAsia="zh-CN"/>
        </w:rPr>
        <w:t>Trong đó:</w:t>
      </w:r>
    </w:p>
    <w:p w:rsidR="004517D4" w:rsidRPr="00CA2D3D" w:rsidRDefault="004517D4" w:rsidP="00C61221">
      <w:pPr>
        <w:adjustRightInd w:val="0"/>
        <w:snapToGrid w:val="0"/>
        <w:spacing w:before="60" w:after="60"/>
        <w:ind w:firstLine="720"/>
        <w:jc w:val="both"/>
        <w:rPr>
          <w:sz w:val="28"/>
          <w:szCs w:val="28"/>
          <w:lang w:eastAsia="zh-CN"/>
        </w:rPr>
      </w:pPr>
      <w:r w:rsidRPr="00C61221">
        <w:rPr>
          <w:sz w:val="28"/>
          <w:szCs w:val="28"/>
          <w:lang w:eastAsia="zh-CN"/>
        </w:rPr>
        <w:t>+ Kinh phí bố trí cho đào tạo, tuyên truyền, mua phần mềm kế toán, hỗ trợ HTX là 6.590 triệu đồng</w:t>
      </w:r>
      <w:r w:rsidRPr="00C61221">
        <w:rPr>
          <w:sz w:val="28"/>
          <w:szCs w:val="28"/>
          <w:vertAlign w:val="superscript"/>
          <w:lang w:eastAsia="zh-CN"/>
        </w:rPr>
        <w:t>(</w:t>
      </w:r>
      <w:r w:rsidRPr="00C61221">
        <w:rPr>
          <w:sz w:val="28"/>
          <w:szCs w:val="28"/>
          <w:vertAlign w:val="superscript"/>
          <w:lang w:eastAsia="zh-CN"/>
        </w:rPr>
        <w:footnoteReference w:id="13"/>
      </w:r>
      <w:r w:rsidRPr="00C61221">
        <w:rPr>
          <w:sz w:val="28"/>
          <w:szCs w:val="28"/>
          <w:vertAlign w:val="superscript"/>
          <w:lang w:eastAsia="zh-CN"/>
        </w:rPr>
        <w:t>)</w:t>
      </w:r>
      <w:r w:rsidR="00CA2D3D">
        <w:rPr>
          <w:sz w:val="28"/>
          <w:szCs w:val="28"/>
          <w:lang w:eastAsia="zh-CN"/>
        </w:rPr>
        <w:t xml:space="preserve">. </w:t>
      </w:r>
    </w:p>
    <w:p w:rsidR="004517D4" w:rsidRPr="00CA2D3D" w:rsidRDefault="004517D4" w:rsidP="00C61221">
      <w:pPr>
        <w:adjustRightInd w:val="0"/>
        <w:snapToGrid w:val="0"/>
        <w:spacing w:before="60" w:after="60"/>
        <w:ind w:firstLine="720"/>
        <w:jc w:val="both"/>
        <w:rPr>
          <w:sz w:val="28"/>
          <w:szCs w:val="28"/>
          <w:lang w:eastAsia="zh-CN"/>
        </w:rPr>
      </w:pPr>
      <w:r w:rsidRPr="00C61221">
        <w:rPr>
          <w:sz w:val="28"/>
          <w:szCs w:val="28"/>
          <w:lang w:eastAsia="zh-CN"/>
        </w:rPr>
        <w:t>+ Kinh phí hỗ trợ lao động trẻ tốt nghiệp đại học, cao đẳ</w:t>
      </w:r>
      <w:r w:rsidR="00CA2D3D">
        <w:rPr>
          <w:sz w:val="28"/>
          <w:szCs w:val="28"/>
          <w:lang w:eastAsia="zh-CN"/>
        </w:rPr>
        <w:t xml:space="preserve">ng làm việc có thời hạn tại HTXNN </w:t>
      </w:r>
      <w:r w:rsidRPr="00C61221">
        <w:rPr>
          <w:sz w:val="28"/>
          <w:szCs w:val="28"/>
          <w:lang w:eastAsia="zh-CN"/>
        </w:rPr>
        <w:t>giai đoạn 2018</w:t>
      </w:r>
      <w:r w:rsidR="00CA2D3D">
        <w:rPr>
          <w:sz w:val="28"/>
          <w:szCs w:val="28"/>
          <w:lang w:eastAsia="zh-CN"/>
        </w:rPr>
        <w:t xml:space="preserve"> </w:t>
      </w:r>
      <w:r w:rsidRPr="00C61221">
        <w:rPr>
          <w:sz w:val="28"/>
          <w:szCs w:val="28"/>
          <w:lang w:eastAsia="zh-CN"/>
        </w:rPr>
        <w:t>-</w:t>
      </w:r>
      <w:r w:rsidR="00CA2D3D">
        <w:rPr>
          <w:sz w:val="28"/>
          <w:szCs w:val="28"/>
          <w:lang w:eastAsia="zh-CN"/>
        </w:rPr>
        <w:t xml:space="preserve"> </w:t>
      </w:r>
      <w:r w:rsidRPr="00C61221">
        <w:rPr>
          <w:sz w:val="28"/>
          <w:szCs w:val="28"/>
          <w:lang w:eastAsia="zh-CN"/>
        </w:rPr>
        <w:t>2021 là 10.935 triệu đồng (</w:t>
      </w:r>
      <w:r w:rsidR="00CA2D3D">
        <w:rPr>
          <w:sz w:val="28"/>
          <w:szCs w:val="28"/>
          <w:lang w:eastAsia="zh-CN"/>
        </w:rPr>
        <w:t>10.007 triệu đồng hỗ trợ 70 HTX</w:t>
      </w:r>
      <w:r w:rsidRPr="00C61221">
        <w:rPr>
          <w:sz w:val="28"/>
          <w:szCs w:val="28"/>
          <w:lang w:eastAsia="zh-CN"/>
        </w:rPr>
        <w:t xml:space="preserve">NN từ nguồn Đề án </w:t>
      </w:r>
      <w:r w:rsidR="00CA2D3D">
        <w:rPr>
          <w:sz w:val="28"/>
          <w:szCs w:val="28"/>
          <w:lang w:eastAsia="zh-CN"/>
        </w:rPr>
        <w:t>TCCNN; 928 triệu đồng hỗ trợ 09 HTX</w:t>
      </w:r>
      <w:r w:rsidRPr="00C61221">
        <w:rPr>
          <w:sz w:val="28"/>
          <w:szCs w:val="28"/>
          <w:lang w:eastAsia="zh-CN"/>
        </w:rPr>
        <w:t xml:space="preserve">NN từ nguồn Chương trình </w:t>
      </w:r>
      <w:r w:rsidR="00CA2D3D">
        <w:rPr>
          <w:sz w:val="28"/>
          <w:szCs w:val="28"/>
          <w:lang w:eastAsia="zh-CN"/>
        </w:rPr>
        <w:t>Mục tiêu Quốc gia (MTQG) X</w:t>
      </w:r>
      <w:r w:rsidRPr="00C61221">
        <w:rPr>
          <w:sz w:val="28"/>
          <w:szCs w:val="28"/>
          <w:lang w:eastAsia="zh-CN"/>
        </w:rPr>
        <w:t>ây dựng nông thôn mới)</w:t>
      </w:r>
      <w:r w:rsidRPr="00C61221">
        <w:rPr>
          <w:sz w:val="28"/>
          <w:szCs w:val="28"/>
          <w:vertAlign w:val="superscript"/>
          <w:lang w:eastAsia="zh-CN"/>
        </w:rPr>
        <w:t>(</w:t>
      </w:r>
      <w:r w:rsidRPr="00C61221">
        <w:rPr>
          <w:sz w:val="28"/>
          <w:szCs w:val="28"/>
          <w:vertAlign w:val="superscript"/>
          <w:lang w:eastAsia="zh-CN"/>
        </w:rPr>
        <w:footnoteReference w:id="14"/>
      </w:r>
      <w:r w:rsidRPr="00C61221">
        <w:rPr>
          <w:sz w:val="28"/>
          <w:szCs w:val="28"/>
          <w:vertAlign w:val="superscript"/>
          <w:lang w:eastAsia="zh-CN"/>
        </w:rPr>
        <w:t>)</w:t>
      </w:r>
      <w:r w:rsidR="00CA2D3D">
        <w:rPr>
          <w:sz w:val="28"/>
          <w:szCs w:val="28"/>
          <w:lang w:eastAsia="zh-CN"/>
        </w:rPr>
        <w:t>.</w:t>
      </w:r>
    </w:p>
    <w:p w:rsidR="004517D4" w:rsidRPr="00C61221" w:rsidRDefault="004517D4" w:rsidP="00C61221">
      <w:pPr>
        <w:adjustRightInd w:val="0"/>
        <w:snapToGrid w:val="0"/>
        <w:spacing w:before="60" w:after="60"/>
        <w:ind w:firstLine="720"/>
        <w:jc w:val="both"/>
        <w:rPr>
          <w:i/>
          <w:sz w:val="28"/>
          <w:szCs w:val="28"/>
          <w:lang w:eastAsia="zh-CN"/>
        </w:rPr>
      </w:pPr>
      <w:r w:rsidRPr="00C61221">
        <w:rPr>
          <w:i/>
          <w:sz w:val="28"/>
          <w:szCs w:val="28"/>
          <w:lang w:eastAsia="zh-CN"/>
        </w:rPr>
        <w:t>b) Vốn đầu tư công:</w:t>
      </w:r>
    </w:p>
    <w:p w:rsidR="004517D4" w:rsidRPr="00C61221" w:rsidRDefault="004517D4" w:rsidP="00C61221">
      <w:pPr>
        <w:adjustRightInd w:val="0"/>
        <w:snapToGrid w:val="0"/>
        <w:spacing w:before="60" w:after="60"/>
        <w:ind w:firstLine="720"/>
        <w:jc w:val="both"/>
        <w:rPr>
          <w:sz w:val="28"/>
          <w:szCs w:val="28"/>
          <w:lang w:eastAsia="zh-CN"/>
        </w:rPr>
      </w:pPr>
      <w:r w:rsidRPr="00C61221">
        <w:rPr>
          <w:sz w:val="28"/>
          <w:szCs w:val="28"/>
          <w:lang w:eastAsia="zh-CN"/>
        </w:rPr>
        <w:t>-</w:t>
      </w:r>
      <w:r w:rsidRPr="00C61221">
        <w:rPr>
          <w:sz w:val="28"/>
          <w:szCs w:val="28"/>
          <w:lang w:val="vi-VN" w:eastAsia="zh-CN"/>
        </w:rPr>
        <w:t xml:space="preserve"> Đối với kế hoạch đầu tư công trung hạn giai đoạn 2016</w:t>
      </w:r>
      <w:r w:rsidR="00CA2D3D">
        <w:rPr>
          <w:sz w:val="28"/>
          <w:szCs w:val="28"/>
          <w:lang w:eastAsia="zh-CN"/>
        </w:rPr>
        <w:t xml:space="preserve"> </w:t>
      </w:r>
      <w:r w:rsidRPr="00C61221">
        <w:rPr>
          <w:sz w:val="28"/>
          <w:szCs w:val="28"/>
          <w:lang w:val="vi-VN" w:eastAsia="zh-CN"/>
        </w:rPr>
        <w:t>-</w:t>
      </w:r>
      <w:r w:rsidR="00CA2D3D">
        <w:rPr>
          <w:sz w:val="28"/>
          <w:szCs w:val="28"/>
          <w:lang w:eastAsia="zh-CN"/>
        </w:rPr>
        <w:t xml:space="preserve"> </w:t>
      </w:r>
      <w:r w:rsidR="00CA2D3D">
        <w:rPr>
          <w:sz w:val="28"/>
          <w:szCs w:val="28"/>
          <w:lang w:val="vi-VN" w:eastAsia="zh-CN"/>
        </w:rPr>
        <w:t>2020 do Tỉnh quản lý và phân bổ</w:t>
      </w:r>
      <w:r w:rsidRPr="00C61221">
        <w:rPr>
          <w:sz w:val="28"/>
          <w:szCs w:val="28"/>
          <w:lang w:val="vi-VN" w:eastAsia="zh-CN"/>
        </w:rPr>
        <w:t xml:space="preserve">: ngân sách Tỉnh không hỗ trợ đầu tư trực tiếp cho hạ tầng phát triển các </w:t>
      </w:r>
      <w:r w:rsidR="00CA2D3D">
        <w:rPr>
          <w:sz w:val="28"/>
          <w:szCs w:val="28"/>
          <w:lang w:eastAsia="zh-CN"/>
        </w:rPr>
        <w:t>HTX</w:t>
      </w:r>
      <w:r w:rsidRPr="00C61221">
        <w:rPr>
          <w:sz w:val="28"/>
          <w:szCs w:val="28"/>
          <w:lang w:val="vi-VN" w:eastAsia="zh-CN"/>
        </w:rPr>
        <w:t>, chủ yếu đầu tư phát triển hạ tầng nông thôn (hạ tầng giao thông, th</w:t>
      </w:r>
      <w:r w:rsidR="00015662">
        <w:rPr>
          <w:sz w:val="28"/>
          <w:szCs w:val="28"/>
          <w:lang w:val="vi-VN" w:eastAsia="zh-CN"/>
        </w:rPr>
        <w:t>uỷ</w:t>
      </w:r>
      <w:r w:rsidRPr="00C61221">
        <w:rPr>
          <w:sz w:val="28"/>
          <w:szCs w:val="28"/>
          <w:lang w:val="vi-VN" w:eastAsia="zh-CN"/>
        </w:rPr>
        <w:t xml:space="preserve"> lợi...) để thúc đẩy phát triển kinh tế </w:t>
      </w:r>
      <w:r w:rsidR="00CA2D3D">
        <w:rPr>
          <w:sz w:val="28"/>
          <w:szCs w:val="28"/>
          <w:lang w:eastAsia="zh-CN"/>
        </w:rPr>
        <w:t xml:space="preserve">- </w:t>
      </w:r>
      <w:r w:rsidRPr="00C61221">
        <w:rPr>
          <w:sz w:val="28"/>
          <w:szCs w:val="28"/>
          <w:lang w:val="vi-VN" w:eastAsia="zh-CN"/>
        </w:rPr>
        <w:t>xã hội các địa phương.</w:t>
      </w:r>
    </w:p>
    <w:p w:rsidR="004517D4" w:rsidRPr="00C61221" w:rsidRDefault="004517D4" w:rsidP="00C61221">
      <w:pPr>
        <w:adjustRightInd w:val="0"/>
        <w:snapToGrid w:val="0"/>
        <w:spacing w:before="60" w:after="60"/>
        <w:ind w:firstLine="720"/>
        <w:jc w:val="both"/>
        <w:rPr>
          <w:sz w:val="28"/>
          <w:szCs w:val="28"/>
          <w:lang w:eastAsia="zh-CN"/>
        </w:rPr>
      </w:pPr>
      <w:r w:rsidRPr="00C61221">
        <w:rPr>
          <w:sz w:val="28"/>
          <w:szCs w:val="28"/>
          <w:lang w:eastAsia="zh-CN"/>
        </w:rPr>
        <w:t>-</w:t>
      </w:r>
      <w:r w:rsidRPr="00C61221">
        <w:rPr>
          <w:sz w:val="28"/>
          <w:szCs w:val="28"/>
          <w:lang w:val="vi-VN" w:eastAsia="zh-CN"/>
        </w:rPr>
        <w:t xml:space="preserve"> Nguồn vốn đầu tư phát triển: 20 tỷ đồng từ nguồn vốn C</w:t>
      </w:r>
      <w:r w:rsidR="005515E4">
        <w:rPr>
          <w:sz w:val="28"/>
          <w:szCs w:val="28"/>
          <w:lang w:eastAsia="zh-CN"/>
        </w:rPr>
        <w:t>hương trình</w:t>
      </w:r>
      <w:r w:rsidRPr="00C61221">
        <w:rPr>
          <w:sz w:val="28"/>
          <w:szCs w:val="28"/>
          <w:lang w:val="vi-VN" w:eastAsia="zh-CN"/>
        </w:rPr>
        <w:t xml:space="preserve"> MTQG xây dựng n</w:t>
      </w:r>
      <w:r w:rsidR="005515E4">
        <w:rPr>
          <w:sz w:val="28"/>
          <w:szCs w:val="28"/>
          <w:lang w:eastAsia="zh-CN"/>
        </w:rPr>
        <w:t>ô</w:t>
      </w:r>
      <w:r w:rsidRPr="00C61221">
        <w:rPr>
          <w:sz w:val="28"/>
          <w:szCs w:val="28"/>
          <w:lang w:val="vi-VN" w:eastAsia="zh-CN"/>
        </w:rPr>
        <w:t>ng thôn mới giai đoạn 2016</w:t>
      </w:r>
      <w:r w:rsidR="00CA2D3D">
        <w:rPr>
          <w:sz w:val="28"/>
          <w:szCs w:val="28"/>
          <w:lang w:eastAsia="zh-CN"/>
        </w:rPr>
        <w:t xml:space="preserve"> </w:t>
      </w:r>
      <w:r w:rsidRPr="00C61221">
        <w:rPr>
          <w:sz w:val="28"/>
          <w:szCs w:val="28"/>
          <w:lang w:val="vi-VN" w:eastAsia="zh-CN"/>
        </w:rPr>
        <w:t>-</w:t>
      </w:r>
      <w:r w:rsidR="00CA2D3D">
        <w:rPr>
          <w:sz w:val="28"/>
          <w:szCs w:val="28"/>
          <w:lang w:eastAsia="zh-CN"/>
        </w:rPr>
        <w:t xml:space="preserve"> </w:t>
      </w:r>
      <w:r w:rsidRPr="00C61221">
        <w:rPr>
          <w:sz w:val="28"/>
          <w:szCs w:val="28"/>
          <w:lang w:val="vi-VN" w:eastAsia="zh-CN"/>
        </w:rPr>
        <w:t>2020.</w:t>
      </w:r>
    </w:p>
    <w:p w:rsidR="004517D4" w:rsidRPr="00C61221" w:rsidRDefault="004517D4" w:rsidP="00C61221">
      <w:pPr>
        <w:adjustRightInd w:val="0"/>
        <w:snapToGrid w:val="0"/>
        <w:spacing w:before="60" w:after="60"/>
        <w:ind w:firstLine="720"/>
        <w:jc w:val="both"/>
        <w:rPr>
          <w:sz w:val="28"/>
          <w:szCs w:val="28"/>
          <w:lang w:eastAsia="zh-CN"/>
        </w:rPr>
      </w:pPr>
      <w:r w:rsidRPr="00C61221">
        <w:rPr>
          <w:sz w:val="28"/>
          <w:szCs w:val="28"/>
          <w:lang w:eastAsia="zh-CN"/>
        </w:rPr>
        <w:t xml:space="preserve">- </w:t>
      </w:r>
      <w:r w:rsidRPr="00C61221">
        <w:rPr>
          <w:sz w:val="28"/>
          <w:szCs w:val="28"/>
          <w:lang w:val="vi-VN" w:eastAsia="zh-CN"/>
        </w:rPr>
        <w:t>Ngoài ra, còn nguồn vốn hỗ trợ các hợp tác xã từ dự án Chuyển đổi nông nghiệp bền vững tại Việt Nam trên địa bàn tỉnh Đồng Tháp - VnSAT: dự án có tổng mức đầu tư 333,556 tỷ đồng, trong đó giai đoạn 2016</w:t>
      </w:r>
      <w:r w:rsidR="005515E4">
        <w:rPr>
          <w:sz w:val="28"/>
          <w:szCs w:val="28"/>
          <w:lang w:eastAsia="zh-CN"/>
        </w:rPr>
        <w:t xml:space="preserve"> </w:t>
      </w:r>
      <w:r w:rsidRPr="00C61221">
        <w:rPr>
          <w:sz w:val="28"/>
          <w:szCs w:val="28"/>
          <w:lang w:val="vi-VN" w:eastAsia="zh-CN"/>
        </w:rPr>
        <w:t>-</w:t>
      </w:r>
      <w:r w:rsidR="005515E4">
        <w:rPr>
          <w:sz w:val="28"/>
          <w:szCs w:val="28"/>
          <w:lang w:eastAsia="zh-CN"/>
        </w:rPr>
        <w:t xml:space="preserve"> </w:t>
      </w:r>
      <w:r w:rsidRPr="00C61221">
        <w:rPr>
          <w:sz w:val="28"/>
          <w:szCs w:val="28"/>
          <w:lang w:val="vi-VN" w:eastAsia="zh-CN"/>
        </w:rPr>
        <w:t>2020 bố trí khoảng 161,419 tỷ đồng.</w:t>
      </w:r>
    </w:p>
    <w:p w:rsidR="004517D4" w:rsidRPr="00C61221" w:rsidRDefault="004517D4" w:rsidP="00C61221">
      <w:pPr>
        <w:adjustRightInd w:val="0"/>
        <w:snapToGrid w:val="0"/>
        <w:spacing w:before="60" w:after="60"/>
        <w:ind w:firstLine="720"/>
        <w:jc w:val="both"/>
        <w:rPr>
          <w:sz w:val="28"/>
          <w:szCs w:val="28"/>
          <w:lang w:eastAsia="zh-CN"/>
        </w:rPr>
      </w:pPr>
      <w:r w:rsidRPr="00C61221">
        <w:rPr>
          <w:i/>
          <w:sz w:val="28"/>
          <w:szCs w:val="28"/>
          <w:lang w:val="vi-VN" w:eastAsia="zh-CN"/>
        </w:rPr>
        <w:t>4.2</w:t>
      </w:r>
      <w:r w:rsidRPr="00C61221">
        <w:rPr>
          <w:i/>
          <w:sz w:val="28"/>
          <w:szCs w:val="28"/>
          <w:lang w:eastAsia="zh-CN"/>
        </w:rPr>
        <w:t>.</w:t>
      </w:r>
      <w:r w:rsidR="005515E4">
        <w:rPr>
          <w:i/>
          <w:sz w:val="28"/>
          <w:szCs w:val="28"/>
          <w:lang w:eastAsia="zh-CN"/>
        </w:rPr>
        <w:t xml:space="preserve"> </w:t>
      </w:r>
      <w:r w:rsidRPr="00C61221">
        <w:rPr>
          <w:i/>
          <w:sz w:val="28"/>
          <w:szCs w:val="28"/>
          <w:lang w:val="vi-VN" w:eastAsia="zh-CN"/>
        </w:rPr>
        <w:t xml:space="preserve">Tổng hợp kết quả thực hiện các nội dung của </w:t>
      </w:r>
      <w:bookmarkStart w:id="4" w:name="dc_13"/>
      <w:r w:rsidRPr="00C61221">
        <w:rPr>
          <w:i/>
          <w:sz w:val="28"/>
          <w:szCs w:val="28"/>
          <w:lang w:val="vi-VN" w:eastAsia="zh-CN"/>
        </w:rPr>
        <w:t>Điều 6 Luật HTX năm 2012</w:t>
      </w:r>
      <w:bookmarkEnd w:id="4"/>
      <w:r w:rsidRPr="00C61221">
        <w:rPr>
          <w:i/>
          <w:sz w:val="28"/>
          <w:szCs w:val="28"/>
          <w:lang w:val="vi-VN" w:eastAsia="zh-CN"/>
        </w:rPr>
        <w:t xml:space="preserve">, Nghị định số 193/2013/NĐ-CP, Nghị định số 107/2017/NĐ-CP của Chính phủ; Quyết định số 2261/QĐ-TTg ngày 15/12/2014 của Thủ tướng Chính phủ về </w:t>
      </w:r>
      <w:r w:rsidRPr="00C61221">
        <w:rPr>
          <w:i/>
          <w:sz w:val="28"/>
          <w:szCs w:val="28"/>
          <w:lang w:val="vi-VN" w:eastAsia="zh-CN"/>
        </w:rPr>
        <w:lastRenderedPageBreak/>
        <w:t>phê duyệt Chương trình hỗ trợ phát triển HTX giai đoạn 2015</w:t>
      </w:r>
      <w:r w:rsidR="005515E4">
        <w:rPr>
          <w:i/>
          <w:sz w:val="28"/>
          <w:szCs w:val="28"/>
          <w:lang w:eastAsia="zh-CN"/>
        </w:rPr>
        <w:t xml:space="preserve"> </w:t>
      </w:r>
      <w:r w:rsidRPr="00C61221">
        <w:rPr>
          <w:i/>
          <w:sz w:val="28"/>
          <w:szCs w:val="28"/>
          <w:lang w:val="vi-VN" w:eastAsia="zh-CN"/>
        </w:rPr>
        <w:t>-</w:t>
      </w:r>
      <w:r w:rsidR="005515E4">
        <w:rPr>
          <w:i/>
          <w:sz w:val="28"/>
          <w:szCs w:val="28"/>
          <w:lang w:eastAsia="zh-CN"/>
        </w:rPr>
        <w:t xml:space="preserve"> </w:t>
      </w:r>
      <w:r w:rsidRPr="00C61221">
        <w:rPr>
          <w:i/>
          <w:sz w:val="28"/>
          <w:szCs w:val="28"/>
          <w:lang w:val="vi-VN" w:eastAsia="zh-CN"/>
        </w:rPr>
        <w:t>2020, Quyết định số 1804/QĐ-TTg ngày 13/11/2020 của Thủ tướng Chính phủ phê duyệt chương trình hỗ trợ phát triển KTTT, HTX giai đoạn 2021 - 2025 và bổ sung thêm các chính sách bảo hiểm, hỗ trợ liên kết sản xuất và tiêu thụ sản phẩm của HTX với doanh nghiệp ..., cụ thể như sau:</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 xml:space="preserve">a) </w:t>
      </w:r>
      <w:r w:rsidRPr="00C61221">
        <w:rPr>
          <w:bCs/>
          <w:i/>
          <w:sz w:val="28"/>
          <w:szCs w:val="28"/>
          <w:lang w:eastAsia="zh-CN"/>
        </w:rPr>
        <w:t>Chính sách cán bộ và nguồn nhân lực</w:t>
      </w:r>
    </w:p>
    <w:p w:rsidR="004517D4" w:rsidRPr="00C61221" w:rsidRDefault="005515E4" w:rsidP="00C61221">
      <w:pPr>
        <w:spacing w:before="60" w:after="60"/>
        <w:ind w:firstLine="720"/>
        <w:jc w:val="both"/>
        <w:rPr>
          <w:spacing w:val="-2"/>
          <w:sz w:val="28"/>
          <w:szCs w:val="28"/>
          <w:lang w:val="nl-NL" w:eastAsia="zh-CN"/>
        </w:rPr>
      </w:pPr>
      <w:r>
        <w:rPr>
          <w:i/>
          <w:sz w:val="28"/>
          <w:szCs w:val="28"/>
          <w:lang w:eastAsia="zh-CN"/>
        </w:rPr>
        <w:t>*</w:t>
      </w:r>
      <w:r w:rsidR="004517D4" w:rsidRPr="00C61221">
        <w:rPr>
          <w:i/>
          <w:sz w:val="28"/>
          <w:szCs w:val="28"/>
          <w:lang w:eastAsia="zh-CN"/>
        </w:rPr>
        <w:t xml:space="preserve"> Về đào tạo, bồi</w:t>
      </w:r>
      <w:r>
        <w:rPr>
          <w:i/>
          <w:sz w:val="28"/>
          <w:szCs w:val="28"/>
          <w:lang w:eastAsia="zh-CN"/>
        </w:rPr>
        <w:t xml:space="preserve"> dưỡng nguồn nhân lực</w:t>
      </w:r>
    </w:p>
    <w:p w:rsidR="004517D4" w:rsidRPr="00C61221" w:rsidRDefault="004517D4" w:rsidP="00C61221">
      <w:pPr>
        <w:spacing w:before="60" w:after="60"/>
        <w:ind w:firstLine="720"/>
        <w:jc w:val="both"/>
        <w:rPr>
          <w:spacing w:val="-2"/>
          <w:sz w:val="28"/>
          <w:szCs w:val="28"/>
          <w:lang w:val="nl-NL" w:eastAsia="zh-CN"/>
        </w:rPr>
      </w:pPr>
      <w:r w:rsidRPr="005515E4">
        <w:rPr>
          <w:sz w:val="28"/>
          <w:szCs w:val="28"/>
          <w:lang w:eastAsia="zh-CN"/>
        </w:rPr>
        <w:t>-</w:t>
      </w:r>
      <w:r w:rsidRPr="00C61221">
        <w:rPr>
          <w:i/>
          <w:sz w:val="28"/>
          <w:szCs w:val="28"/>
          <w:lang w:eastAsia="zh-CN"/>
        </w:rPr>
        <w:t xml:space="preserve"> </w:t>
      </w:r>
      <w:r w:rsidRPr="00C61221">
        <w:rPr>
          <w:sz w:val="28"/>
          <w:szCs w:val="28"/>
          <w:lang w:eastAsia="zh-CN"/>
        </w:rPr>
        <w:t xml:space="preserve">Từ năm 2013 - 2020, Tỉnh </w:t>
      </w:r>
      <w:r w:rsidRPr="00C61221">
        <w:rPr>
          <w:sz w:val="28"/>
          <w:szCs w:val="28"/>
          <w:lang w:val="nl-NL" w:eastAsia="zh-CN"/>
        </w:rPr>
        <w:t>tổ chức 170 lớp tập huấn và đào tạo bồi dưỡng;</w:t>
      </w:r>
      <w:r w:rsidRPr="00C61221">
        <w:rPr>
          <w:sz w:val="28"/>
          <w:szCs w:val="28"/>
          <w:lang w:val="sv-SE" w:eastAsia="zh-CN"/>
        </w:rPr>
        <w:t xml:space="preserve"> 02 chuyến học tập kinh nghiệm; 11 cuộc hội thảo, diễn đàn, tọa đàm và 01 cuộc điều tra cho cán bộ các </w:t>
      </w:r>
      <w:r w:rsidR="005515E4">
        <w:rPr>
          <w:sz w:val="28"/>
          <w:szCs w:val="28"/>
          <w:lang w:val="sv-SE" w:eastAsia="zh-CN"/>
        </w:rPr>
        <w:t>HTX</w:t>
      </w:r>
      <w:r w:rsidRPr="00C61221">
        <w:rPr>
          <w:sz w:val="28"/>
          <w:szCs w:val="28"/>
          <w:lang w:val="sv-SE" w:eastAsia="zh-CN"/>
        </w:rPr>
        <w:t xml:space="preserve">, </w:t>
      </w:r>
      <w:r w:rsidR="005515E4">
        <w:rPr>
          <w:sz w:val="28"/>
          <w:szCs w:val="28"/>
          <w:lang w:val="sv-SE" w:eastAsia="zh-CN"/>
        </w:rPr>
        <w:t>THT</w:t>
      </w:r>
      <w:r w:rsidRPr="00C61221">
        <w:rPr>
          <w:sz w:val="28"/>
          <w:szCs w:val="28"/>
          <w:lang w:val="sv-SE" w:eastAsia="zh-CN"/>
        </w:rPr>
        <w:t xml:space="preserve">, trang trại trên địa bàn </w:t>
      </w:r>
      <w:r w:rsidR="005515E4">
        <w:rPr>
          <w:sz w:val="28"/>
          <w:szCs w:val="28"/>
          <w:lang w:val="sv-SE" w:eastAsia="zh-CN"/>
        </w:rPr>
        <w:t>T</w:t>
      </w:r>
      <w:r w:rsidRPr="00C61221">
        <w:rPr>
          <w:sz w:val="28"/>
          <w:szCs w:val="28"/>
          <w:lang w:val="sv-SE" w:eastAsia="zh-CN"/>
        </w:rPr>
        <w:t xml:space="preserve">ỉnh, có trên 8.400 người tham dự. Tổng kinh thực hiện 3.260 triệu đồng. Năm 2021, </w:t>
      </w:r>
      <w:r w:rsidRPr="00C61221">
        <w:rPr>
          <w:sz w:val="28"/>
          <w:szCs w:val="28"/>
          <w:lang w:eastAsia="zh-CN"/>
        </w:rPr>
        <w:t>p</w:t>
      </w:r>
      <w:r w:rsidRPr="00C61221">
        <w:rPr>
          <w:sz w:val="28"/>
          <w:szCs w:val="28"/>
          <w:lang w:val="vi-VN" w:eastAsia="zh-CN"/>
        </w:rPr>
        <w:t xml:space="preserve">hối hợp với Trường Cán bộ </w:t>
      </w:r>
      <w:r w:rsidRPr="00C61221">
        <w:rPr>
          <w:sz w:val="28"/>
          <w:szCs w:val="28"/>
          <w:lang w:eastAsia="zh-CN"/>
        </w:rPr>
        <w:t>Q</w:t>
      </w:r>
      <w:r w:rsidRPr="00C61221">
        <w:rPr>
          <w:sz w:val="28"/>
          <w:szCs w:val="28"/>
          <w:lang w:val="vi-VN" w:eastAsia="zh-CN"/>
        </w:rPr>
        <w:t xml:space="preserve">uản lý nông nghiệp và </w:t>
      </w:r>
      <w:r w:rsidR="005515E4">
        <w:rPr>
          <w:sz w:val="28"/>
          <w:szCs w:val="28"/>
          <w:lang w:eastAsia="zh-CN"/>
        </w:rPr>
        <w:t>PTNT</w:t>
      </w:r>
      <w:r w:rsidRPr="00C61221">
        <w:rPr>
          <w:sz w:val="28"/>
          <w:szCs w:val="28"/>
          <w:lang w:val="vi-VN" w:eastAsia="zh-CN"/>
        </w:rPr>
        <w:t xml:space="preserve"> II, Trường Cao đẳng </w:t>
      </w:r>
      <w:r w:rsidRPr="00C61221">
        <w:rPr>
          <w:sz w:val="28"/>
          <w:szCs w:val="28"/>
          <w:lang w:eastAsia="zh-CN"/>
        </w:rPr>
        <w:t>C</w:t>
      </w:r>
      <w:r w:rsidRPr="00C61221">
        <w:rPr>
          <w:sz w:val="28"/>
          <w:szCs w:val="28"/>
          <w:lang w:val="vi-VN" w:eastAsia="zh-CN"/>
        </w:rPr>
        <w:t xml:space="preserve">ộng đồng </w:t>
      </w:r>
      <w:r w:rsidRPr="00C61221">
        <w:rPr>
          <w:rFonts w:eastAsia="MS Gothic"/>
          <w:sz w:val="28"/>
          <w:szCs w:val="28"/>
          <w:lang w:val="vi-VN" w:eastAsia="zh-CN"/>
        </w:rPr>
        <w:t>Đ</w:t>
      </w:r>
      <w:r w:rsidRPr="00C61221">
        <w:rPr>
          <w:sz w:val="28"/>
          <w:szCs w:val="28"/>
          <w:lang w:val="vi-VN" w:eastAsia="zh-CN"/>
        </w:rPr>
        <w:t>ồng Tháp tổ chức các lớp tập huấn bồi dưỡng v</w:t>
      </w:r>
      <w:r w:rsidRPr="00C61221">
        <w:rPr>
          <w:rFonts w:eastAsia="MingLiU"/>
          <w:sz w:val="28"/>
          <w:szCs w:val="28"/>
          <w:lang w:val="vi-VN" w:eastAsia="zh-CN"/>
        </w:rPr>
        <w:t>ề</w:t>
      </w:r>
      <w:r w:rsidRPr="00C61221">
        <w:rPr>
          <w:sz w:val="28"/>
          <w:szCs w:val="28"/>
          <w:lang w:val="vi-VN" w:eastAsia="zh-CN"/>
        </w:rPr>
        <w:t xml:space="preserve"> kỹ n</w:t>
      </w:r>
      <w:r w:rsidRPr="00C61221">
        <w:rPr>
          <w:rFonts w:eastAsia="MS Gothic"/>
          <w:sz w:val="28"/>
          <w:szCs w:val="28"/>
          <w:lang w:val="vi-VN" w:eastAsia="zh-CN"/>
        </w:rPr>
        <w:t>ă</w:t>
      </w:r>
      <w:r w:rsidRPr="00C61221">
        <w:rPr>
          <w:sz w:val="28"/>
          <w:szCs w:val="28"/>
          <w:lang w:val="vi-VN" w:eastAsia="zh-CN"/>
        </w:rPr>
        <w:t>ng khai th</w:t>
      </w:r>
      <w:r w:rsidRPr="00C61221">
        <w:rPr>
          <w:rFonts w:eastAsia="Malgun Gothic"/>
          <w:sz w:val="28"/>
          <w:szCs w:val="28"/>
          <w:lang w:val="vi-VN" w:eastAsia="zh-CN"/>
        </w:rPr>
        <w:t>á</w:t>
      </w:r>
      <w:r w:rsidRPr="00C61221">
        <w:rPr>
          <w:sz w:val="28"/>
          <w:szCs w:val="28"/>
          <w:lang w:val="vi-VN" w:eastAsia="zh-CN"/>
        </w:rPr>
        <w:t>c th</w:t>
      </w:r>
      <w:r w:rsidRPr="00C61221">
        <w:rPr>
          <w:rFonts w:eastAsia="Malgun Gothic"/>
          <w:sz w:val="28"/>
          <w:szCs w:val="28"/>
          <w:lang w:val="vi-VN" w:eastAsia="zh-CN"/>
        </w:rPr>
        <w:t>ô</w:t>
      </w:r>
      <w:r w:rsidRPr="00C61221">
        <w:rPr>
          <w:sz w:val="28"/>
          <w:szCs w:val="28"/>
          <w:lang w:val="vi-VN" w:eastAsia="zh-CN"/>
        </w:rPr>
        <w:t>ng tin v</w:t>
      </w:r>
      <w:r w:rsidRPr="00C61221">
        <w:rPr>
          <w:rFonts w:eastAsia="MingLiU"/>
          <w:sz w:val="28"/>
          <w:szCs w:val="28"/>
          <w:lang w:val="vi-VN" w:eastAsia="zh-CN"/>
        </w:rPr>
        <w:t>ề</w:t>
      </w:r>
      <w:r w:rsidRPr="00C61221">
        <w:rPr>
          <w:sz w:val="28"/>
          <w:szCs w:val="28"/>
          <w:lang w:val="vi-VN" w:eastAsia="zh-CN"/>
        </w:rPr>
        <w:t xml:space="preserve"> sản xuất thị trường trên Internet, ki</w:t>
      </w:r>
      <w:r w:rsidRPr="00C61221">
        <w:rPr>
          <w:rFonts w:eastAsia="MingLiU"/>
          <w:sz w:val="28"/>
          <w:szCs w:val="28"/>
          <w:lang w:val="vi-VN" w:eastAsia="zh-CN"/>
        </w:rPr>
        <w:t>ế</w:t>
      </w:r>
      <w:r w:rsidRPr="00C61221">
        <w:rPr>
          <w:sz w:val="28"/>
          <w:szCs w:val="28"/>
          <w:lang w:val="vi-VN" w:eastAsia="zh-CN"/>
        </w:rPr>
        <w:t xml:space="preserve">n thức </w:t>
      </w:r>
      <w:r w:rsidR="005515E4">
        <w:rPr>
          <w:sz w:val="28"/>
          <w:szCs w:val="28"/>
          <w:lang w:eastAsia="zh-CN"/>
        </w:rPr>
        <w:t>KTHT</w:t>
      </w:r>
      <w:r w:rsidRPr="00C61221">
        <w:rPr>
          <w:sz w:val="28"/>
          <w:szCs w:val="28"/>
          <w:lang w:val="vi-VN" w:eastAsia="zh-CN"/>
        </w:rPr>
        <w:t xml:space="preserve"> cho tổ tư vấn </w:t>
      </w:r>
      <w:r w:rsidR="005515E4">
        <w:rPr>
          <w:sz w:val="28"/>
          <w:szCs w:val="28"/>
          <w:lang w:eastAsia="zh-CN"/>
        </w:rPr>
        <w:t xml:space="preserve">KTHT </w:t>
      </w:r>
      <w:r w:rsidRPr="00C61221">
        <w:rPr>
          <w:sz w:val="28"/>
          <w:szCs w:val="28"/>
          <w:lang w:val="vi-VN" w:eastAsia="zh-CN"/>
        </w:rPr>
        <w:t>các địa phương, tập huấn v</w:t>
      </w:r>
      <w:r w:rsidRPr="00C61221">
        <w:rPr>
          <w:rFonts w:eastAsia="MingLiU"/>
          <w:sz w:val="28"/>
          <w:szCs w:val="28"/>
          <w:lang w:val="vi-VN" w:eastAsia="zh-CN"/>
        </w:rPr>
        <w:t>ề</w:t>
      </w:r>
      <w:r w:rsidRPr="00C61221">
        <w:rPr>
          <w:sz w:val="28"/>
          <w:szCs w:val="28"/>
          <w:lang w:val="vi-VN" w:eastAsia="zh-CN"/>
        </w:rPr>
        <w:t xml:space="preserve"> quản lý và phát triển hoạt động mô hình Hội quán,... Ước thực hiện đ</w:t>
      </w:r>
      <w:r w:rsidRPr="00C61221">
        <w:rPr>
          <w:rFonts w:eastAsia="MingLiU"/>
          <w:sz w:val="28"/>
          <w:szCs w:val="28"/>
          <w:lang w:val="vi-VN" w:eastAsia="zh-CN"/>
        </w:rPr>
        <w:t>ế</w:t>
      </w:r>
      <w:r w:rsidRPr="00C61221">
        <w:rPr>
          <w:sz w:val="28"/>
          <w:szCs w:val="28"/>
          <w:lang w:val="vi-VN" w:eastAsia="zh-CN"/>
        </w:rPr>
        <w:t>n cuối n</w:t>
      </w:r>
      <w:r w:rsidRPr="00C61221">
        <w:rPr>
          <w:rFonts w:eastAsia="MS Gothic"/>
          <w:sz w:val="28"/>
          <w:szCs w:val="28"/>
          <w:lang w:val="vi-VN" w:eastAsia="zh-CN"/>
        </w:rPr>
        <w:t>ă</w:t>
      </w:r>
      <w:r w:rsidRPr="00C61221">
        <w:rPr>
          <w:sz w:val="28"/>
          <w:szCs w:val="28"/>
          <w:lang w:val="vi-VN" w:eastAsia="zh-CN"/>
        </w:rPr>
        <w:t xml:space="preserve">m 2021 </w:t>
      </w:r>
      <w:r w:rsidRPr="00C61221">
        <w:rPr>
          <w:rFonts w:eastAsia="Malgun Gothic"/>
          <w:sz w:val="28"/>
          <w:szCs w:val="28"/>
          <w:lang w:val="vi-VN" w:eastAsia="zh-CN"/>
        </w:rPr>
        <w:t>đà</w:t>
      </w:r>
      <w:r w:rsidRPr="00C61221">
        <w:rPr>
          <w:sz w:val="28"/>
          <w:szCs w:val="28"/>
          <w:lang w:val="vi-VN" w:eastAsia="zh-CN"/>
        </w:rPr>
        <w:t>o tạo 320 người là thành viên HTXNN, hội quán, cán bộ ngành nông nghiệp với tổng kinh phí 15</w:t>
      </w:r>
      <w:r w:rsidRPr="00C61221">
        <w:rPr>
          <w:sz w:val="28"/>
          <w:szCs w:val="28"/>
          <w:lang w:eastAsia="zh-CN"/>
        </w:rPr>
        <w:t xml:space="preserve">2 </w:t>
      </w:r>
      <w:r w:rsidRPr="00C61221">
        <w:rPr>
          <w:sz w:val="28"/>
          <w:szCs w:val="28"/>
          <w:lang w:val="vi-VN" w:eastAsia="zh-CN"/>
        </w:rPr>
        <w:t>triệu đồng.</w:t>
      </w:r>
    </w:p>
    <w:p w:rsidR="004517D4" w:rsidRPr="00C61221" w:rsidRDefault="004517D4" w:rsidP="00C61221">
      <w:pPr>
        <w:spacing w:before="60" w:after="60"/>
        <w:ind w:firstLine="720"/>
        <w:jc w:val="both"/>
        <w:rPr>
          <w:sz w:val="28"/>
          <w:szCs w:val="28"/>
          <w:lang w:val="it-IT" w:eastAsia="zh-CN"/>
        </w:rPr>
      </w:pPr>
      <w:r w:rsidRPr="00C61221">
        <w:rPr>
          <w:spacing w:val="-2"/>
          <w:sz w:val="28"/>
          <w:szCs w:val="28"/>
          <w:lang w:val="nl-NL" w:eastAsia="zh-CN"/>
        </w:rPr>
        <w:t xml:space="preserve">- Hỗ trợ cho 55 cán bộ, thành viên, người lao động và con em của thành viên, người lao động HTX dự các lớp đào tạo đại học; </w:t>
      </w:r>
      <w:r w:rsidRPr="00C61221">
        <w:rPr>
          <w:sz w:val="28"/>
          <w:szCs w:val="28"/>
          <w:lang w:val="it-IT" w:eastAsia="zh-CN"/>
        </w:rPr>
        <w:t xml:space="preserve">mở </w:t>
      </w:r>
      <w:r w:rsidRPr="00C61221">
        <w:rPr>
          <w:sz w:val="28"/>
          <w:szCs w:val="28"/>
          <w:shd w:val="clear" w:color="auto" w:fill="FFFFFF"/>
          <w:lang w:val="it-IT" w:eastAsia="zh-CN"/>
        </w:rPr>
        <w:t>01 lớp Quản trị kinh doanh kinh hệ vừa học vừa làm có 80 học viên tham dự, 01 lớp Quản trị kinh doanh có 55 học viên tham dự.</w:t>
      </w:r>
    </w:p>
    <w:p w:rsidR="004517D4" w:rsidRPr="00C61221" w:rsidRDefault="005515E4" w:rsidP="00C61221">
      <w:pPr>
        <w:spacing w:before="60" w:after="60"/>
        <w:ind w:firstLine="720"/>
        <w:jc w:val="both"/>
        <w:rPr>
          <w:bCs/>
          <w:sz w:val="28"/>
          <w:szCs w:val="28"/>
          <w:lang w:val="zu-ZA" w:eastAsia="zh-CN" w:bidi="en-US"/>
        </w:rPr>
      </w:pPr>
      <w:r>
        <w:rPr>
          <w:bCs/>
          <w:sz w:val="28"/>
          <w:szCs w:val="28"/>
          <w:lang w:val="zu-ZA" w:eastAsia="zh-CN" w:bidi="en-US"/>
        </w:rPr>
        <w:t xml:space="preserve">- </w:t>
      </w:r>
      <w:r w:rsidR="004517D4" w:rsidRPr="00C61221">
        <w:rPr>
          <w:bCs/>
          <w:sz w:val="28"/>
          <w:szCs w:val="28"/>
          <w:lang w:val="zu-ZA" w:eastAsia="zh-CN" w:bidi="en-US"/>
        </w:rPr>
        <w:t xml:space="preserve">Ngoài ra, Tỉnh còn phối hợp với Trường Trung cấp nghề </w:t>
      </w:r>
      <w:r w:rsidR="004517D4" w:rsidRPr="00C61221">
        <w:rPr>
          <w:bCs/>
          <w:sz w:val="28"/>
          <w:szCs w:val="28"/>
          <w:lang w:val="vi-VN" w:eastAsia="zh-CN" w:bidi="en-US"/>
        </w:rPr>
        <w:t>và</w:t>
      </w:r>
      <w:r w:rsidR="004517D4" w:rsidRPr="00C61221">
        <w:rPr>
          <w:bCs/>
          <w:sz w:val="28"/>
          <w:szCs w:val="28"/>
          <w:lang w:val="zu-ZA" w:eastAsia="zh-CN" w:bidi="en-US"/>
        </w:rPr>
        <w:t xml:space="preserve"> Đào tạo cán bộ HTX miền Nam; Trường Cán bộ Quản lý Nông nghiệp và PTNT II; Cục Phát triển HTX</w:t>
      </w:r>
      <w:r>
        <w:rPr>
          <w:bCs/>
          <w:sz w:val="28"/>
          <w:szCs w:val="28"/>
          <w:lang w:val="zu-ZA" w:eastAsia="zh-CN" w:bidi="en-US"/>
        </w:rPr>
        <w:t xml:space="preserve"> </w:t>
      </w:r>
      <w:r w:rsidR="004517D4" w:rsidRPr="00C61221">
        <w:rPr>
          <w:bCs/>
          <w:sz w:val="28"/>
          <w:szCs w:val="28"/>
          <w:lang w:val="zu-ZA" w:eastAsia="zh-CN" w:bidi="en-US"/>
        </w:rPr>
        <w:t>- Bộ Kế hoạch và Đầu tư tổ chức các lớp tập huấn các chức danh HTX, lớp bồi dưỡng chuyên đề cho cán bộ quản lý HTX.</w:t>
      </w:r>
    </w:p>
    <w:p w:rsidR="004517D4" w:rsidRPr="00C61221" w:rsidRDefault="005515E4" w:rsidP="00C61221">
      <w:pPr>
        <w:spacing w:before="60" w:after="60"/>
        <w:ind w:firstLine="720"/>
        <w:jc w:val="both"/>
        <w:rPr>
          <w:i/>
          <w:spacing w:val="-4"/>
          <w:sz w:val="28"/>
          <w:szCs w:val="28"/>
          <w:lang w:val="vi-VN" w:eastAsia="zh-CN"/>
        </w:rPr>
      </w:pPr>
      <w:r>
        <w:rPr>
          <w:spacing w:val="-4"/>
          <w:sz w:val="28"/>
          <w:szCs w:val="28"/>
          <w:lang w:eastAsia="zh-CN"/>
        </w:rPr>
        <w:t xml:space="preserve">* </w:t>
      </w:r>
      <w:r w:rsidR="004517D4" w:rsidRPr="00C61221">
        <w:rPr>
          <w:i/>
          <w:spacing w:val="-4"/>
          <w:sz w:val="28"/>
          <w:szCs w:val="28"/>
          <w:lang w:val="vi-VN" w:eastAsia="zh-CN"/>
        </w:rPr>
        <w:t>Hỗ trợ cán bộ trẻ về làm việc tại HTX:</w:t>
      </w:r>
    </w:p>
    <w:p w:rsidR="004517D4" w:rsidRPr="00C61221" w:rsidRDefault="004517D4" w:rsidP="00C61221">
      <w:pPr>
        <w:spacing w:before="60" w:after="60"/>
        <w:ind w:firstLine="720"/>
        <w:jc w:val="both"/>
        <w:rPr>
          <w:bCs/>
          <w:sz w:val="28"/>
          <w:szCs w:val="28"/>
        </w:rPr>
      </w:pPr>
      <w:r w:rsidRPr="00C61221">
        <w:rPr>
          <w:sz w:val="28"/>
          <w:szCs w:val="28"/>
          <w:lang w:val="sv-SE" w:eastAsia="zh-CN"/>
        </w:rPr>
        <w:t>B</w:t>
      </w:r>
      <w:r w:rsidRPr="00C61221">
        <w:rPr>
          <w:sz w:val="28"/>
          <w:szCs w:val="28"/>
          <w:lang w:val="vi-VN" w:eastAsia="zh-CN"/>
        </w:rPr>
        <w:t xml:space="preserve">iệt phái viên chức làm </w:t>
      </w:r>
      <w:r w:rsidRPr="00C61221">
        <w:rPr>
          <w:sz w:val="28"/>
          <w:szCs w:val="28"/>
          <w:lang w:val="sv-SE" w:eastAsia="zh-CN"/>
        </w:rPr>
        <w:t>Phó Giám đốc</w:t>
      </w:r>
      <w:r w:rsidRPr="00C61221">
        <w:rPr>
          <w:sz w:val="28"/>
          <w:szCs w:val="28"/>
          <w:lang w:val="vi-VN" w:eastAsia="zh-CN"/>
        </w:rPr>
        <w:t xml:space="preserve"> HTX: Đã thực hiện biệt phái 15 viên chức từ các trạm, trại của ngành nông</w:t>
      </w:r>
      <w:r w:rsidRPr="005515E4">
        <w:rPr>
          <w:sz w:val="28"/>
          <w:szCs w:val="28"/>
          <w:lang w:val="vi-VN" w:eastAsia="zh-CN"/>
        </w:rPr>
        <w:t xml:space="preserve"> nghiệp</w:t>
      </w:r>
      <w:r w:rsidRPr="005515E4">
        <w:rPr>
          <w:sz w:val="28"/>
          <w:szCs w:val="28"/>
          <w:shd w:val="clear" w:color="auto" w:fill="FFFFFF"/>
          <w:lang w:val="it-IT" w:eastAsia="zh-CN"/>
        </w:rPr>
        <w:t xml:space="preserve"> (Khuyến nông, Bảo vệ thực vật, Thú y, Th</w:t>
      </w:r>
      <w:r w:rsidR="00015662" w:rsidRPr="005515E4">
        <w:rPr>
          <w:sz w:val="28"/>
          <w:szCs w:val="28"/>
          <w:shd w:val="clear" w:color="auto" w:fill="FFFFFF"/>
          <w:lang w:val="it-IT" w:eastAsia="zh-CN"/>
        </w:rPr>
        <w:t>uỷ</w:t>
      </w:r>
      <w:r w:rsidRPr="005515E4">
        <w:rPr>
          <w:sz w:val="28"/>
          <w:szCs w:val="28"/>
          <w:shd w:val="clear" w:color="auto" w:fill="FFFFFF"/>
          <w:lang w:val="it-IT" w:eastAsia="zh-CN"/>
        </w:rPr>
        <w:t xml:space="preserve"> sản)</w:t>
      </w:r>
      <w:r w:rsidRPr="00C61221">
        <w:rPr>
          <w:sz w:val="28"/>
          <w:szCs w:val="28"/>
          <w:lang w:val="vi-VN" w:eastAsia="zh-CN"/>
        </w:rPr>
        <w:t xml:space="preserve"> về hỗ trợ hoạt động cho 15 HTXNN trên địa bàn tỉnh trong thời gian 03 năm (2015</w:t>
      </w:r>
      <w:r w:rsidR="005515E4">
        <w:rPr>
          <w:sz w:val="28"/>
          <w:szCs w:val="28"/>
          <w:lang w:eastAsia="zh-CN"/>
        </w:rPr>
        <w:t xml:space="preserve"> </w:t>
      </w:r>
      <w:r w:rsidRPr="00C61221">
        <w:rPr>
          <w:sz w:val="28"/>
          <w:szCs w:val="28"/>
          <w:lang w:val="vi-VN" w:eastAsia="zh-CN"/>
        </w:rPr>
        <w:t>-</w:t>
      </w:r>
      <w:r w:rsidR="005515E4">
        <w:rPr>
          <w:sz w:val="28"/>
          <w:szCs w:val="28"/>
          <w:lang w:eastAsia="zh-CN"/>
        </w:rPr>
        <w:t xml:space="preserve"> </w:t>
      </w:r>
      <w:r w:rsidRPr="00C61221">
        <w:rPr>
          <w:sz w:val="28"/>
          <w:szCs w:val="28"/>
          <w:lang w:val="vi-VN" w:eastAsia="zh-CN"/>
        </w:rPr>
        <w:t>2017)</w:t>
      </w:r>
      <w:r w:rsidR="00654E50">
        <w:rPr>
          <w:sz w:val="28"/>
          <w:szCs w:val="28"/>
          <w:lang w:eastAsia="zh-CN"/>
        </w:rPr>
        <w:t xml:space="preserve"> </w:t>
      </w:r>
      <w:r w:rsidRPr="00C61221">
        <w:rPr>
          <w:bCs/>
          <w:sz w:val="28"/>
          <w:szCs w:val="28"/>
          <w:lang w:val="vi-VN"/>
        </w:rPr>
        <w:t xml:space="preserve">do </w:t>
      </w:r>
      <w:r w:rsidRPr="00C61221">
        <w:rPr>
          <w:bCs/>
          <w:sz w:val="28"/>
          <w:szCs w:val="28"/>
        </w:rPr>
        <w:t>ngân sách nhà nước trả lương; k</w:t>
      </w:r>
      <w:r w:rsidRPr="00C61221">
        <w:rPr>
          <w:bCs/>
          <w:sz w:val="28"/>
          <w:szCs w:val="28"/>
          <w:lang w:val="vi-VN"/>
        </w:rPr>
        <w:t xml:space="preserve">ết quả bước đầu đã tạo được </w:t>
      </w:r>
      <w:r w:rsidRPr="00C61221">
        <w:rPr>
          <w:bCs/>
          <w:sz w:val="28"/>
          <w:szCs w:val="28"/>
        </w:rPr>
        <w:t>yếu tố</w:t>
      </w:r>
      <w:r w:rsidRPr="00C61221">
        <w:rPr>
          <w:bCs/>
          <w:sz w:val="28"/>
          <w:szCs w:val="28"/>
          <w:lang w:val="vi-VN"/>
        </w:rPr>
        <w:t xml:space="preserve"> tích cực trong việc hỗ trợ nhân sự trong HTX nông nghiệp</w:t>
      </w:r>
      <w:r w:rsidRPr="00C61221">
        <w:rPr>
          <w:bCs/>
          <w:sz w:val="28"/>
          <w:szCs w:val="28"/>
        </w:rPr>
        <w:t xml:space="preserve">, </w:t>
      </w:r>
      <w:r w:rsidRPr="00C61221">
        <w:rPr>
          <w:bCs/>
          <w:sz w:val="28"/>
          <w:szCs w:val="28"/>
          <w:lang w:val="vi-VN"/>
        </w:rPr>
        <w:t xml:space="preserve">các viên chức đã thể hiện tâm huyết, chịu khó học hỏi kinh nghiệm, phát huy năng lực chuyên môn để hỗ trợ về mặt kỹ thuật, hỗ trợ HTX xây dựng phương án sản xuất kinh doanh,… nỗ lực phấn đấu hoàn thành tốt nhiệm vụ được giao tại HTX. </w:t>
      </w:r>
    </w:p>
    <w:p w:rsidR="004517D4" w:rsidRPr="00C61221" w:rsidRDefault="004517D4" w:rsidP="00C61221">
      <w:pPr>
        <w:spacing w:before="60" w:after="60"/>
        <w:ind w:firstLine="720"/>
        <w:jc w:val="both"/>
        <w:rPr>
          <w:sz w:val="28"/>
          <w:szCs w:val="28"/>
          <w:lang w:eastAsia="zh-CN"/>
        </w:rPr>
      </w:pPr>
      <w:r w:rsidRPr="00654E50">
        <w:rPr>
          <w:bCs/>
          <w:sz w:val="28"/>
          <w:szCs w:val="28"/>
        </w:rPr>
        <w:t>Tuy nhiên</w:t>
      </w:r>
      <w:r w:rsidRPr="00654E50">
        <w:rPr>
          <w:bCs/>
          <w:sz w:val="28"/>
          <w:szCs w:val="28"/>
          <w:lang w:val="vi-VN"/>
        </w:rPr>
        <w:t>,</w:t>
      </w:r>
      <w:r w:rsidRPr="00C61221">
        <w:rPr>
          <w:bCs/>
          <w:sz w:val="28"/>
          <w:szCs w:val="28"/>
          <w:lang w:val="vi-VN"/>
        </w:rPr>
        <w:t xml:space="preserve"> đa phần các HTX có viên chức biệt phái đều không có trụ sở làm việc, thiếu trang thiết bị</w:t>
      </w:r>
      <w:r w:rsidRPr="00C61221">
        <w:rPr>
          <w:bCs/>
          <w:sz w:val="28"/>
          <w:szCs w:val="28"/>
        </w:rPr>
        <w:t>, đã</w:t>
      </w:r>
      <w:r w:rsidRPr="00C61221">
        <w:rPr>
          <w:bCs/>
          <w:sz w:val="28"/>
          <w:szCs w:val="28"/>
          <w:lang w:val="vi-VN"/>
        </w:rPr>
        <w:t xml:space="preserve"> làm ảnh hưởng không nhỏ đến quá trình làm việc của cán bộ biệt phái, </w:t>
      </w:r>
      <w:r w:rsidRPr="00C61221">
        <w:rPr>
          <w:bCs/>
          <w:sz w:val="28"/>
          <w:szCs w:val="28"/>
        </w:rPr>
        <w:t xml:space="preserve">một số nơi còn thiếu sự hợp tác của </w:t>
      </w:r>
      <w:r w:rsidRPr="00C61221">
        <w:rPr>
          <w:bCs/>
          <w:sz w:val="28"/>
          <w:szCs w:val="28"/>
          <w:lang w:val="vi-VN"/>
        </w:rPr>
        <w:t xml:space="preserve">Hội đồng quản trị; </w:t>
      </w:r>
      <w:r w:rsidRPr="00C61221">
        <w:rPr>
          <w:sz w:val="28"/>
          <w:szCs w:val="28"/>
          <w:lang w:val="vi-VN" w:eastAsia="zh-CN"/>
        </w:rPr>
        <w:t>nhiều dự án, ý tưởng phát triển, mở rộng dịch vụ của các HTX</w:t>
      </w:r>
      <w:r w:rsidRPr="00C61221">
        <w:rPr>
          <w:sz w:val="28"/>
          <w:szCs w:val="28"/>
          <w:lang w:eastAsia="zh-CN"/>
        </w:rPr>
        <w:t xml:space="preserve"> do Viên chức biệt phái đề xuất </w:t>
      </w:r>
      <w:r w:rsidRPr="00C61221">
        <w:rPr>
          <w:sz w:val="28"/>
          <w:szCs w:val="28"/>
          <w:lang w:val="vi-VN" w:eastAsia="zh-CN"/>
        </w:rPr>
        <w:t>không thể triển khai thực hiện được</w:t>
      </w:r>
      <w:r w:rsidRPr="00C61221">
        <w:rPr>
          <w:sz w:val="28"/>
          <w:szCs w:val="28"/>
          <w:lang w:eastAsia="zh-CN"/>
        </w:rPr>
        <w:t xml:space="preserve"> do thiếu nguồn lực.</w:t>
      </w:r>
    </w:p>
    <w:p w:rsidR="004517D4" w:rsidRPr="00C61221" w:rsidRDefault="00654E50" w:rsidP="00C61221">
      <w:pPr>
        <w:spacing w:before="60" w:after="60"/>
        <w:ind w:firstLine="720"/>
        <w:jc w:val="both"/>
        <w:rPr>
          <w:i/>
          <w:sz w:val="28"/>
          <w:szCs w:val="28"/>
          <w:lang w:val="vi-VN" w:eastAsia="zh-CN"/>
        </w:rPr>
      </w:pPr>
      <w:r>
        <w:rPr>
          <w:i/>
          <w:sz w:val="28"/>
          <w:szCs w:val="28"/>
          <w:lang w:eastAsia="zh-CN"/>
        </w:rPr>
        <w:t>*</w:t>
      </w:r>
      <w:r w:rsidR="004517D4" w:rsidRPr="00C61221">
        <w:rPr>
          <w:i/>
          <w:sz w:val="28"/>
          <w:szCs w:val="28"/>
          <w:lang w:val="vi-VN" w:eastAsia="zh-CN"/>
        </w:rPr>
        <w:t xml:space="preserve"> Hỗ trợ đưa cán bộ trẻ tốt nghiệp Đại học, Cao đẳn</w:t>
      </w:r>
      <w:r>
        <w:rPr>
          <w:i/>
          <w:sz w:val="28"/>
          <w:szCs w:val="28"/>
          <w:lang w:val="vi-VN" w:eastAsia="zh-CN"/>
        </w:rPr>
        <w:t>g về làm việc có thời hạn ở HTX</w:t>
      </w:r>
    </w:p>
    <w:p w:rsidR="004517D4" w:rsidRPr="00C61221" w:rsidRDefault="004517D4" w:rsidP="00C61221">
      <w:pPr>
        <w:spacing w:before="60" w:after="60"/>
        <w:ind w:firstLine="720"/>
        <w:jc w:val="both"/>
        <w:rPr>
          <w:sz w:val="28"/>
          <w:szCs w:val="28"/>
          <w:lang w:val="vi-VN" w:eastAsia="zh-CN"/>
        </w:rPr>
      </w:pPr>
      <w:r w:rsidRPr="00C61221">
        <w:rPr>
          <w:sz w:val="28"/>
          <w:szCs w:val="28"/>
          <w:lang w:val="vi-VN" w:eastAsia="zh-CN"/>
        </w:rPr>
        <w:t>Giai đoạn 2018</w:t>
      </w:r>
      <w:r w:rsidR="00654E50">
        <w:rPr>
          <w:sz w:val="28"/>
          <w:szCs w:val="28"/>
          <w:lang w:eastAsia="zh-CN"/>
        </w:rPr>
        <w:t xml:space="preserve"> </w:t>
      </w:r>
      <w:r w:rsidRPr="00C61221">
        <w:rPr>
          <w:sz w:val="28"/>
          <w:szCs w:val="28"/>
          <w:lang w:val="vi-VN" w:eastAsia="zh-CN"/>
        </w:rPr>
        <w:t>-</w:t>
      </w:r>
      <w:r w:rsidR="00654E50">
        <w:rPr>
          <w:sz w:val="28"/>
          <w:szCs w:val="28"/>
          <w:lang w:eastAsia="zh-CN"/>
        </w:rPr>
        <w:t xml:space="preserve"> </w:t>
      </w:r>
      <w:r w:rsidRPr="00C61221">
        <w:rPr>
          <w:sz w:val="28"/>
          <w:szCs w:val="28"/>
          <w:lang w:val="vi-VN" w:eastAsia="zh-CN"/>
        </w:rPr>
        <w:t xml:space="preserve">2020 </w:t>
      </w:r>
      <w:r w:rsidRPr="00C61221">
        <w:rPr>
          <w:sz w:val="28"/>
          <w:szCs w:val="28"/>
          <w:lang w:eastAsia="zh-CN"/>
        </w:rPr>
        <w:t xml:space="preserve">Tỉnh đã </w:t>
      </w:r>
      <w:r w:rsidRPr="00C61221">
        <w:rPr>
          <w:sz w:val="28"/>
          <w:szCs w:val="28"/>
          <w:lang w:val="vi-VN" w:eastAsia="zh-CN"/>
        </w:rPr>
        <w:t>hỗ trợ 162 lượt lao động</w:t>
      </w:r>
      <w:r w:rsidRPr="00C61221">
        <w:rPr>
          <w:sz w:val="28"/>
          <w:szCs w:val="28"/>
          <w:lang w:eastAsia="zh-CN"/>
        </w:rPr>
        <w:t xml:space="preserve"> về làm việc cho </w:t>
      </w:r>
      <w:r w:rsidRPr="00C61221">
        <w:rPr>
          <w:sz w:val="28"/>
          <w:szCs w:val="28"/>
          <w:lang w:val="vi-VN" w:eastAsia="zh-CN"/>
        </w:rPr>
        <w:t>78 HTXNN, với tổng kinh phí 4.205,83 triệu đồng.</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lastRenderedPageBreak/>
        <w:t xml:space="preserve">Năm 2021, tiếp tục thực hiện </w:t>
      </w:r>
      <w:r w:rsidRPr="00C61221">
        <w:rPr>
          <w:sz w:val="28"/>
          <w:szCs w:val="28"/>
          <w:lang w:val="vi-VN" w:eastAsia="zh-CN"/>
        </w:rPr>
        <w:t xml:space="preserve">kéo dài thời hạn áp dụng </w:t>
      </w:r>
      <w:r w:rsidRPr="00C61221">
        <w:rPr>
          <w:sz w:val="28"/>
          <w:szCs w:val="28"/>
          <w:lang w:eastAsia="zh-CN"/>
        </w:rPr>
        <w:t xml:space="preserve">chính sách, Tỉnh đã </w:t>
      </w:r>
      <w:r w:rsidRPr="00C61221">
        <w:rPr>
          <w:sz w:val="28"/>
          <w:szCs w:val="28"/>
          <w:lang w:val="vi-VN" w:eastAsia="zh-CN"/>
        </w:rPr>
        <w:t>phê duyệt hỗ trợ 43 cán bộ v</w:t>
      </w:r>
      <w:r w:rsidRPr="00C61221">
        <w:rPr>
          <w:rFonts w:eastAsia="MingLiU"/>
          <w:sz w:val="28"/>
          <w:szCs w:val="28"/>
          <w:lang w:val="vi-VN" w:eastAsia="zh-CN"/>
        </w:rPr>
        <w:t>ề</w:t>
      </w:r>
      <w:r w:rsidRPr="00C61221">
        <w:rPr>
          <w:sz w:val="28"/>
          <w:szCs w:val="28"/>
          <w:lang w:val="vi-VN" w:eastAsia="zh-CN"/>
        </w:rPr>
        <w:t xml:space="preserve"> làm việc tại HTX, với tổng kinh phí 1.251,59 triệu đồng.</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Việc hỗ trợ </w:t>
      </w:r>
      <w:r w:rsidRPr="00C61221">
        <w:rPr>
          <w:sz w:val="28"/>
          <w:szCs w:val="28"/>
          <w:lang w:val="vi-VN" w:eastAsia="zh-CN"/>
        </w:rPr>
        <w:t>lao động</w:t>
      </w:r>
      <w:r w:rsidRPr="00C61221">
        <w:rPr>
          <w:sz w:val="28"/>
          <w:szCs w:val="28"/>
          <w:lang w:eastAsia="zh-CN"/>
        </w:rPr>
        <w:t xml:space="preserve"> trẻ về làm việc cho HTX bước dầu đã góp phần nâng cao nguồn nhân lực cho các HTX. </w:t>
      </w:r>
    </w:p>
    <w:p w:rsidR="004517D4" w:rsidRPr="00C61221" w:rsidRDefault="00654E50" w:rsidP="00C61221">
      <w:pPr>
        <w:spacing w:before="60" w:after="60"/>
        <w:ind w:firstLine="720"/>
        <w:contextualSpacing/>
        <w:jc w:val="both"/>
        <w:rPr>
          <w:bCs/>
          <w:i/>
          <w:sz w:val="28"/>
          <w:szCs w:val="28"/>
          <w:lang w:eastAsia="zh-CN"/>
        </w:rPr>
      </w:pPr>
      <w:r>
        <w:rPr>
          <w:i/>
          <w:sz w:val="28"/>
          <w:szCs w:val="28"/>
          <w:lang w:eastAsia="zh-CN"/>
        </w:rPr>
        <w:t>b) Chính sách đất đai</w:t>
      </w:r>
    </w:p>
    <w:p w:rsidR="004517D4" w:rsidRPr="00654E50" w:rsidRDefault="004517D4" w:rsidP="00C61221">
      <w:pPr>
        <w:spacing w:before="60" w:after="60"/>
        <w:ind w:firstLine="720"/>
        <w:contextualSpacing/>
        <w:jc w:val="both"/>
        <w:rPr>
          <w:rFonts w:eastAsia="Calibri"/>
          <w:bCs/>
          <w:sz w:val="28"/>
          <w:szCs w:val="28"/>
        </w:rPr>
      </w:pPr>
      <w:r w:rsidRPr="00C61221">
        <w:rPr>
          <w:rFonts w:eastAsia="Calibri"/>
          <w:bCs/>
          <w:sz w:val="28"/>
          <w:szCs w:val="28"/>
        </w:rPr>
        <w:t xml:space="preserve">- Đã hỗ trợ 07 HTX, Liên hiệp HTX </w:t>
      </w:r>
      <w:r w:rsidRPr="00C61221">
        <w:rPr>
          <w:rFonts w:eastAsia="Calibri"/>
          <w:bCs/>
          <w:i/>
          <w:sz w:val="28"/>
          <w:szCs w:val="28"/>
        </w:rPr>
        <w:t xml:space="preserve">(06 </w:t>
      </w:r>
      <w:r w:rsidRPr="00C61221">
        <w:rPr>
          <w:bCs/>
          <w:i/>
          <w:spacing w:val="-2"/>
          <w:sz w:val="28"/>
          <w:szCs w:val="28"/>
          <w:lang w:val="zu-ZA"/>
        </w:rPr>
        <w:t xml:space="preserve">HTX trong </w:t>
      </w:r>
      <w:r w:rsidR="00654E50">
        <w:rPr>
          <w:bCs/>
          <w:i/>
          <w:spacing w:val="-2"/>
          <w:sz w:val="28"/>
          <w:szCs w:val="28"/>
          <w:lang w:val="zu-ZA"/>
        </w:rPr>
        <w:t>T</w:t>
      </w:r>
      <w:r w:rsidRPr="00C61221">
        <w:rPr>
          <w:bCs/>
          <w:i/>
          <w:spacing w:val="-2"/>
          <w:sz w:val="28"/>
          <w:szCs w:val="28"/>
          <w:lang w:val="zu-ZA"/>
        </w:rPr>
        <w:t xml:space="preserve">ỉnh </w:t>
      </w:r>
      <w:r w:rsidRPr="00C61221">
        <w:rPr>
          <w:rFonts w:eastAsia="Calibri"/>
          <w:bCs/>
          <w:i/>
          <w:sz w:val="28"/>
          <w:szCs w:val="28"/>
        </w:rPr>
        <w:t xml:space="preserve">và Liên hiệp HTX Thương mại </w:t>
      </w:r>
      <w:r w:rsidR="00654E50">
        <w:rPr>
          <w:rFonts w:eastAsia="Calibri"/>
          <w:bCs/>
          <w:i/>
          <w:sz w:val="28"/>
          <w:szCs w:val="28"/>
        </w:rPr>
        <w:t>T</w:t>
      </w:r>
      <w:r w:rsidRPr="00C61221">
        <w:rPr>
          <w:rFonts w:eastAsia="Calibri"/>
          <w:bCs/>
          <w:i/>
          <w:sz w:val="28"/>
          <w:szCs w:val="28"/>
        </w:rPr>
        <w:t>hành phố Hồ Chí Minh mở 04 Siêu thị Coopmart)</w:t>
      </w:r>
      <w:r w:rsidRPr="00C61221">
        <w:rPr>
          <w:rFonts w:eastAsia="Calibri"/>
          <w:bCs/>
          <w:sz w:val="28"/>
          <w:szCs w:val="28"/>
        </w:rPr>
        <w:t xml:space="preserve"> thuê đất với tổng diện tích là </w:t>
      </w:r>
      <w:r w:rsidRPr="00C61221">
        <w:rPr>
          <w:sz w:val="28"/>
          <w:szCs w:val="28"/>
          <w:lang w:eastAsia="zh-CN"/>
        </w:rPr>
        <w:t>11,2187 ha</w:t>
      </w:r>
      <w:r w:rsidRPr="00C61221">
        <w:rPr>
          <w:sz w:val="28"/>
          <w:szCs w:val="28"/>
          <w:vertAlign w:val="superscript"/>
          <w:lang w:eastAsia="zh-CN"/>
        </w:rPr>
        <w:t>(</w:t>
      </w:r>
      <w:r w:rsidRPr="00C61221">
        <w:rPr>
          <w:sz w:val="28"/>
          <w:szCs w:val="28"/>
          <w:vertAlign w:val="superscript"/>
          <w:lang w:eastAsia="zh-CN"/>
        </w:rPr>
        <w:footnoteReference w:id="15"/>
      </w:r>
      <w:r w:rsidRPr="00C61221">
        <w:rPr>
          <w:sz w:val="28"/>
          <w:szCs w:val="28"/>
          <w:vertAlign w:val="superscript"/>
          <w:lang w:eastAsia="zh-CN"/>
        </w:rPr>
        <w:t>)</w:t>
      </w:r>
      <w:r w:rsidR="00654E50">
        <w:rPr>
          <w:sz w:val="28"/>
          <w:szCs w:val="28"/>
          <w:lang w:eastAsia="zh-CN"/>
        </w:rPr>
        <w:t>.</w:t>
      </w:r>
    </w:p>
    <w:p w:rsidR="004517D4" w:rsidRPr="00C61221" w:rsidRDefault="004517D4" w:rsidP="00C61221">
      <w:pPr>
        <w:spacing w:before="60" w:after="60"/>
        <w:ind w:firstLine="720"/>
        <w:contextualSpacing/>
        <w:jc w:val="both"/>
        <w:rPr>
          <w:rFonts w:eastAsia="Calibri"/>
          <w:bCs/>
          <w:sz w:val="28"/>
          <w:szCs w:val="28"/>
        </w:rPr>
      </w:pPr>
      <w:r w:rsidRPr="00C61221">
        <w:rPr>
          <w:rFonts w:eastAsia="Calibri"/>
          <w:bCs/>
          <w:sz w:val="28"/>
          <w:szCs w:val="28"/>
          <w:lang w:val="vi-VN"/>
        </w:rPr>
        <w:t>- Thực hiện chính sách hỗ trợ tích tụ, tập trung đất đai được thí điểm áp dụng trong lĩnh vực trồng lúa, trồng cây ăn trái, cơ giới hóa trong sản xuất nông nghiệp</w:t>
      </w:r>
      <w:r w:rsidRPr="00C61221">
        <w:rPr>
          <w:rFonts w:eastAsia="Calibri"/>
          <w:bCs/>
          <w:sz w:val="28"/>
          <w:szCs w:val="28"/>
        </w:rPr>
        <w:t xml:space="preserve"> </w:t>
      </w:r>
      <w:r w:rsidRPr="00C61221">
        <w:rPr>
          <w:rFonts w:eastAsia="Calibri"/>
          <w:bCs/>
          <w:sz w:val="28"/>
          <w:szCs w:val="28"/>
          <w:lang w:val="vi-VN"/>
        </w:rPr>
        <w:t xml:space="preserve">theo Nghị quyết 138/2017/NQ-HĐND ngày 07/12/2017 của Hội đồng nhân dân </w:t>
      </w:r>
      <w:r w:rsidR="00654E50">
        <w:rPr>
          <w:rFonts w:eastAsia="Calibri"/>
          <w:bCs/>
          <w:sz w:val="28"/>
          <w:szCs w:val="28"/>
        </w:rPr>
        <w:t>T</w:t>
      </w:r>
      <w:r w:rsidRPr="00C61221">
        <w:rPr>
          <w:rFonts w:eastAsia="Calibri"/>
          <w:bCs/>
          <w:sz w:val="28"/>
          <w:szCs w:val="28"/>
          <w:lang w:val="vi-VN"/>
        </w:rPr>
        <w:t>ỉnh, giai đoạn 2018</w:t>
      </w:r>
      <w:r w:rsidR="00654E50">
        <w:rPr>
          <w:rFonts w:eastAsia="Calibri"/>
          <w:bCs/>
          <w:sz w:val="28"/>
          <w:szCs w:val="28"/>
        </w:rPr>
        <w:t xml:space="preserve"> </w:t>
      </w:r>
      <w:r w:rsidRPr="00C61221">
        <w:rPr>
          <w:rFonts w:eastAsia="Calibri"/>
          <w:bCs/>
          <w:sz w:val="28"/>
          <w:szCs w:val="28"/>
          <w:lang w:val="vi-VN"/>
        </w:rPr>
        <w:t>-</w:t>
      </w:r>
      <w:r w:rsidR="00654E50">
        <w:rPr>
          <w:rFonts w:eastAsia="Calibri"/>
          <w:bCs/>
          <w:sz w:val="28"/>
          <w:szCs w:val="28"/>
        </w:rPr>
        <w:t xml:space="preserve"> </w:t>
      </w:r>
      <w:r w:rsidRPr="00C61221">
        <w:rPr>
          <w:rFonts w:eastAsia="Calibri"/>
          <w:bCs/>
          <w:sz w:val="28"/>
          <w:szCs w:val="28"/>
          <w:lang w:val="vi-VN"/>
        </w:rPr>
        <w:t>2020, có 9/12 huyện, thành phố tham gia, với có 159 lượt đối tượng được hỗ trợ, tổng diện tích đất được hỗ trợ là 1.751,57 ha (trong đó, diện tích thuê đất lúa: 1.650,64 ha, với 135 lượt đối tượng hỗ trợ; diện tích thuê đất cây ăn trái 100,93 ha, với 24 lượt đối tượng hỗ trợ) và hỗ trợ 08 mô hình cơ giới hóa.</w:t>
      </w:r>
    </w:p>
    <w:p w:rsidR="004517D4" w:rsidRPr="00C61221" w:rsidRDefault="004517D4" w:rsidP="00C61221">
      <w:pPr>
        <w:spacing w:before="60" w:after="60"/>
        <w:ind w:firstLine="720"/>
        <w:contextualSpacing/>
        <w:jc w:val="both"/>
        <w:rPr>
          <w:rFonts w:eastAsia="Calibri"/>
          <w:bCs/>
          <w:sz w:val="28"/>
          <w:szCs w:val="28"/>
        </w:rPr>
      </w:pPr>
      <w:r w:rsidRPr="00C61221">
        <w:rPr>
          <w:i/>
          <w:sz w:val="28"/>
          <w:szCs w:val="28"/>
          <w:lang w:eastAsia="zh-CN"/>
        </w:rPr>
        <w:t>c) Chính sách tài chính tín dụng</w:t>
      </w:r>
    </w:p>
    <w:p w:rsidR="004517D4" w:rsidRPr="00C61221" w:rsidRDefault="00654E50" w:rsidP="00C61221">
      <w:pPr>
        <w:spacing w:before="60" w:after="60"/>
        <w:ind w:firstLine="720"/>
        <w:contextualSpacing/>
        <w:jc w:val="both"/>
        <w:rPr>
          <w:bCs/>
          <w:i/>
          <w:spacing w:val="-6"/>
          <w:sz w:val="28"/>
          <w:szCs w:val="28"/>
        </w:rPr>
      </w:pPr>
      <w:r>
        <w:rPr>
          <w:bCs/>
          <w:i/>
          <w:spacing w:val="-6"/>
          <w:sz w:val="28"/>
          <w:szCs w:val="28"/>
        </w:rPr>
        <w:t xml:space="preserve">* </w:t>
      </w:r>
      <w:r w:rsidR="004517D4" w:rsidRPr="00C61221">
        <w:rPr>
          <w:bCs/>
          <w:i/>
          <w:spacing w:val="-6"/>
          <w:sz w:val="28"/>
          <w:szCs w:val="28"/>
        </w:rPr>
        <w:t>Về thuế</w:t>
      </w:r>
    </w:p>
    <w:p w:rsidR="004517D4" w:rsidRPr="00C61221" w:rsidRDefault="00654E50" w:rsidP="00C61221">
      <w:pPr>
        <w:spacing w:before="60" w:after="60"/>
        <w:ind w:firstLine="720"/>
        <w:contextualSpacing/>
        <w:jc w:val="both"/>
        <w:rPr>
          <w:sz w:val="28"/>
          <w:szCs w:val="28"/>
          <w:lang w:eastAsia="zh-CN"/>
        </w:rPr>
      </w:pPr>
      <w:r>
        <w:rPr>
          <w:bCs/>
          <w:sz w:val="28"/>
          <w:szCs w:val="28"/>
          <w:lang w:eastAsia="zh-CN"/>
        </w:rPr>
        <w:t xml:space="preserve">- </w:t>
      </w:r>
      <w:r w:rsidR="004517D4" w:rsidRPr="00C61221">
        <w:rPr>
          <w:bCs/>
          <w:sz w:val="28"/>
          <w:szCs w:val="28"/>
          <w:lang w:eastAsia="zh-CN"/>
        </w:rPr>
        <w:t xml:space="preserve">Các HTX </w:t>
      </w:r>
      <w:r w:rsidR="004517D4" w:rsidRPr="00C61221">
        <w:rPr>
          <w:sz w:val="28"/>
          <w:szCs w:val="28"/>
          <w:lang w:eastAsia="zh-CN"/>
        </w:rPr>
        <w:t>được miễn lệ phí môn bài.</w:t>
      </w:r>
    </w:p>
    <w:p w:rsidR="004517D4" w:rsidRPr="00C61221" w:rsidRDefault="00654E50" w:rsidP="00C61221">
      <w:pPr>
        <w:spacing w:before="60" w:after="60"/>
        <w:ind w:firstLine="720"/>
        <w:contextualSpacing/>
        <w:jc w:val="both"/>
        <w:rPr>
          <w:bCs/>
          <w:i/>
          <w:spacing w:val="-6"/>
          <w:sz w:val="28"/>
          <w:szCs w:val="28"/>
        </w:rPr>
      </w:pPr>
      <w:r>
        <w:rPr>
          <w:sz w:val="28"/>
          <w:szCs w:val="28"/>
          <w:lang w:eastAsia="zh-CN"/>
        </w:rPr>
        <w:t xml:space="preserve">- </w:t>
      </w:r>
      <w:r w:rsidR="004517D4" w:rsidRPr="00654E50">
        <w:rPr>
          <w:spacing w:val="4"/>
          <w:sz w:val="28"/>
          <w:szCs w:val="28"/>
          <w:lang w:eastAsia="zh-CN"/>
        </w:rPr>
        <w:t>Chính sách miễn thuế sử dụng đất nông nghiệp: chưa có HTX được thụ hưởng.</w:t>
      </w:r>
    </w:p>
    <w:p w:rsidR="004517D4" w:rsidRPr="00C61221" w:rsidRDefault="00654E50" w:rsidP="00C61221">
      <w:pPr>
        <w:spacing w:before="60" w:after="60"/>
        <w:ind w:firstLine="720"/>
        <w:contextualSpacing/>
        <w:jc w:val="both"/>
        <w:rPr>
          <w:bCs/>
          <w:i/>
          <w:spacing w:val="-6"/>
          <w:sz w:val="28"/>
          <w:szCs w:val="28"/>
        </w:rPr>
      </w:pPr>
      <w:r>
        <w:rPr>
          <w:sz w:val="28"/>
          <w:szCs w:val="28"/>
          <w:lang w:eastAsia="zh-CN"/>
        </w:rPr>
        <w:t xml:space="preserve">- </w:t>
      </w:r>
      <w:r w:rsidR="004517D4" w:rsidRPr="00C61221">
        <w:rPr>
          <w:sz w:val="28"/>
          <w:szCs w:val="28"/>
          <w:lang w:eastAsia="zh-CN"/>
        </w:rPr>
        <w:t>Chính sách cho HTX phi nông nghiệp được thuê đất dài hạn, giảm mức nộp tiền thuê đất cho HTX</w:t>
      </w:r>
      <w:r w:rsidR="004517D4" w:rsidRPr="00C61221">
        <w:rPr>
          <w:bCs/>
          <w:sz w:val="28"/>
          <w:szCs w:val="28"/>
          <w:lang w:eastAsia="zh-CN"/>
        </w:rPr>
        <w:t xml:space="preserve">: </w:t>
      </w:r>
      <w:r w:rsidR="000C766D">
        <w:rPr>
          <w:bCs/>
          <w:sz w:val="28"/>
          <w:szCs w:val="28"/>
          <w:lang w:eastAsia="zh-CN"/>
        </w:rPr>
        <w:t>c</w:t>
      </w:r>
      <w:r w:rsidR="004517D4" w:rsidRPr="00C61221">
        <w:rPr>
          <w:bCs/>
          <w:sz w:val="28"/>
          <w:szCs w:val="28"/>
          <w:lang w:eastAsia="zh-CN"/>
        </w:rPr>
        <w:t xml:space="preserve">ó 1 HTX được giảm </w:t>
      </w:r>
      <w:r w:rsidR="004517D4" w:rsidRPr="00C61221">
        <w:rPr>
          <w:sz w:val="28"/>
          <w:szCs w:val="28"/>
          <w:lang w:eastAsia="zh-CN"/>
        </w:rPr>
        <w:t>mức nộp tiền thuê</w:t>
      </w:r>
      <w:r w:rsidR="004517D4" w:rsidRPr="00C61221">
        <w:rPr>
          <w:bCs/>
          <w:sz w:val="28"/>
          <w:szCs w:val="28"/>
          <w:lang w:eastAsia="zh-CN"/>
        </w:rPr>
        <w:t xml:space="preserve"> đất là 107 triệu đồng.</w:t>
      </w:r>
    </w:p>
    <w:p w:rsidR="004517D4" w:rsidRPr="00C61221" w:rsidRDefault="00654E50" w:rsidP="00C61221">
      <w:pPr>
        <w:spacing w:before="60" w:after="60"/>
        <w:ind w:firstLine="720"/>
        <w:contextualSpacing/>
        <w:jc w:val="both"/>
        <w:rPr>
          <w:bCs/>
          <w:sz w:val="28"/>
          <w:szCs w:val="28"/>
          <w:lang w:eastAsia="zh-CN"/>
        </w:rPr>
      </w:pPr>
      <w:r>
        <w:rPr>
          <w:sz w:val="28"/>
          <w:szCs w:val="28"/>
          <w:lang w:eastAsia="zh-CN"/>
        </w:rPr>
        <w:t xml:space="preserve">- </w:t>
      </w:r>
      <w:r w:rsidR="004517D4" w:rsidRPr="00C61221">
        <w:rPr>
          <w:sz w:val="28"/>
          <w:szCs w:val="28"/>
          <w:lang w:eastAsia="zh-CN"/>
        </w:rPr>
        <w:t xml:space="preserve">Chính sách ưu đãi thuế thu nhập doanh nghiệp và các loại thuế khác theo quy định của pháp luật về thuế: </w:t>
      </w:r>
      <w:r>
        <w:rPr>
          <w:bCs/>
          <w:sz w:val="28"/>
          <w:szCs w:val="28"/>
          <w:lang w:eastAsia="zh-CN"/>
        </w:rPr>
        <w:t>đ</w:t>
      </w:r>
      <w:r w:rsidR="004517D4" w:rsidRPr="00C61221">
        <w:rPr>
          <w:bCs/>
          <w:sz w:val="28"/>
          <w:szCs w:val="28"/>
          <w:lang w:eastAsia="zh-CN"/>
        </w:rPr>
        <w:t>ến cuối năm 2020, đã có 625 HTX được ưu đãi với tổng số tiền là 5.790 triệu đồng.</w:t>
      </w:r>
    </w:p>
    <w:p w:rsidR="004517D4" w:rsidRPr="00C61221" w:rsidRDefault="000C766D" w:rsidP="00C61221">
      <w:pPr>
        <w:spacing w:before="60" w:after="60"/>
        <w:ind w:firstLine="720"/>
        <w:contextualSpacing/>
        <w:jc w:val="both"/>
        <w:rPr>
          <w:bCs/>
          <w:sz w:val="28"/>
          <w:szCs w:val="28"/>
          <w:lang w:eastAsia="zh-CN"/>
        </w:rPr>
      </w:pPr>
      <w:r>
        <w:rPr>
          <w:bCs/>
          <w:i/>
          <w:sz w:val="28"/>
          <w:szCs w:val="28"/>
          <w:lang w:eastAsia="zh-CN"/>
        </w:rPr>
        <w:t>*</w:t>
      </w:r>
      <w:r w:rsidR="004517D4" w:rsidRPr="00C61221">
        <w:rPr>
          <w:bCs/>
          <w:i/>
          <w:sz w:val="28"/>
          <w:szCs w:val="28"/>
          <w:lang w:eastAsia="zh-CN"/>
        </w:rPr>
        <w:t xml:space="preserve"> </w:t>
      </w:r>
      <w:r w:rsidR="004517D4" w:rsidRPr="000C766D">
        <w:rPr>
          <w:rFonts w:eastAsia="Calibri"/>
          <w:bCs/>
          <w:i/>
          <w:spacing w:val="-6"/>
          <w:sz w:val="28"/>
          <w:szCs w:val="28"/>
        </w:rPr>
        <w:t xml:space="preserve">Về tiếp vốn từ Quỹ hỗ trợ phát triển HTX, </w:t>
      </w:r>
      <w:r w:rsidR="004517D4" w:rsidRPr="000C766D">
        <w:rPr>
          <w:i/>
          <w:spacing w:val="-6"/>
          <w:sz w:val="28"/>
          <w:szCs w:val="28"/>
          <w:lang w:val="pt-BR" w:eastAsia="zh-CN"/>
        </w:rPr>
        <w:t>Q</w:t>
      </w:r>
      <w:r w:rsidRPr="000C766D">
        <w:rPr>
          <w:i/>
          <w:spacing w:val="-6"/>
          <w:sz w:val="28"/>
          <w:szCs w:val="28"/>
          <w:lang w:val="pt-BR" w:eastAsia="zh-CN"/>
        </w:rPr>
        <w:t>uỹ Quốc gia giải quyết việc làm</w:t>
      </w:r>
    </w:p>
    <w:p w:rsidR="004517D4" w:rsidRPr="00C61221" w:rsidRDefault="004517D4" w:rsidP="00C61221">
      <w:pPr>
        <w:spacing w:before="60" w:after="60"/>
        <w:ind w:firstLine="720"/>
        <w:contextualSpacing/>
        <w:jc w:val="both"/>
        <w:rPr>
          <w:bCs/>
          <w:i/>
          <w:sz w:val="28"/>
          <w:szCs w:val="28"/>
          <w:lang w:eastAsia="zh-CN"/>
        </w:rPr>
      </w:pPr>
      <w:r w:rsidRPr="00C61221">
        <w:rPr>
          <w:rFonts w:eastAsia="Calibri"/>
          <w:bCs/>
          <w:sz w:val="28"/>
          <w:szCs w:val="28"/>
          <w:lang w:val="zu-ZA"/>
        </w:rPr>
        <w:t xml:space="preserve">Quỹ Hỗ trợ phát triển HTX được thành lập cuối năm 2012, </w:t>
      </w:r>
      <w:r w:rsidRPr="00C61221">
        <w:rPr>
          <w:rFonts w:eastAsia="Calibri"/>
          <w:sz w:val="28"/>
          <w:szCs w:val="28"/>
          <w:lang w:val="zu-ZA" w:bidi="en-US"/>
        </w:rPr>
        <w:t xml:space="preserve">vốn điều lệ ban đầu là </w:t>
      </w:r>
      <w:r w:rsidRPr="000C766D">
        <w:rPr>
          <w:rFonts w:eastAsia="Calibri"/>
          <w:sz w:val="28"/>
          <w:szCs w:val="28"/>
          <w:lang w:val="zu-ZA" w:bidi="en-US"/>
        </w:rPr>
        <w:t>10 tỷ</w:t>
      </w:r>
      <w:r w:rsidRPr="00C61221">
        <w:rPr>
          <w:rFonts w:eastAsia="Calibri"/>
          <w:sz w:val="28"/>
          <w:szCs w:val="28"/>
          <w:lang w:val="zu-ZA" w:bidi="en-US"/>
        </w:rPr>
        <w:t xml:space="preserve"> đồng; đến tháng 01/2017 nâng lên</w:t>
      </w:r>
      <w:r w:rsidRPr="000C766D">
        <w:rPr>
          <w:rFonts w:eastAsia="Calibri"/>
          <w:sz w:val="28"/>
          <w:szCs w:val="28"/>
          <w:lang w:val="zu-ZA" w:bidi="en-US"/>
        </w:rPr>
        <w:t xml:space="preserve"> 20 </w:t>
      </w:r>
      <w:r w:rsidRPr="00C61221">
        <w:rPr>
          <w:rFonts w:eastAsia="Calibri"/>
          <w:sz w:val="28"/>
          <w:szCs w:val="28"/>
          <w:lang w:val="zu-ZA" w:bidi="en-US"/>
        </w:rPr>
        <w:t xml:space="preserve">tỷ đồng và hiện nay là </w:t>
      </w:r>
      <w:r w:rsidRPr="000C766D">
        <w:rPr>
          <w:sz w:val="28"/>
          <w:szCs w:val="28"/>
          <w:lang w:val="pt-BR" w:eastAsia="zh-CN"/>
        </w:rPr>
        <w:t xml:space="preserve">40 </w:t>
      </w:r>
      <w:r w:rsidRPr="00C61221">
        <w:rPr>
          <w:sz w:val="28"/>
          <w:szCs w:val="28"/>
          <w:lang w:val="pt-BR" w:eastAsia="zh-CN"/>
        </w:rPr>
        <w:t xml:space="preserve">tỷ đồng. Đến nay đã có 06 HTX với 15 phương án được vay, với tổng số tiền đã giải ngân là 10,304 tỷ đồng. Tổng dư nợ quá hạn của Quỹ gần 2,54 tỷ đồng, với 04 phương án vay của 02 HTX; </w:t>
      </w:r>
      <w:r w:rsidR="000C766D">
        <w:rPr>
          <w:sz w:val="28"/>
          <w:szCs w:val="28"/>
          <w:lang w:val="pt-BR" w:eastAsia="zh-CN"/>
        </w:rPr>
        <w:t>n</w:t>
      </w:r>
      <w:r w:rsidRPr="00C61221">
        <w:rPr>
          <w:sz w:val="28"/>
          <w:szCs w:val="28"/>
          <w:lang w:val="pt-BR" w:eastAsia="zh-CN"/>
        </w:rPr>
        <w:t xml:space="preserve">ợ trong hạn 01 HTX vay 304 triệu đồng. Tổng dư nợ của Quỹ đến cuối Quý III/2021 gần 2,85 tỷ đồng (trong đó nợ quá hạn 2,54 tỷ đồng). </w:t>
      </w:r>
    </w:p>
    <w:p w:rsidR="004517D4" w:rsidRPr="00C61221" w:rsidRDefault="004517D4" w:rsidP="00C61221">
      <w:pPr>
        <w:spacing w:before="60" w:after="60"/>
        <w:ind w:firstLine="720"/>
        <w:jc w:val="both"/>
        <w:rPr>
          <w:sz w:val="28"/>
          <w:szCs w:val="28"/>
          <w:lang w:val="pt-BR" w:eastAsia="zh-CN"/>
        </w:rPr>
      </w:pPr>
      <w:r w:rsidRPr="00C61221">
        <w:rPr>
          <w:sz w:val="28"/>
          <w:szCs w:val="28"/>
          <w:lang w:val="pt-BR" w:eastAsia="zh-CN"/>
        </w:rPr>
        <w:t>Quỹ Quốc gia giải quyết việc làm đã cho 03 HTX và 02 thành viên HTX  vay với số tiền 650 triệu đồng.</w:t>
      </w:r>
    </w:p>
    <w:p w:rsidR="004517D4" w:rsidRPr="00C61221" w:rsidRDefault="00BC2682" w:rsidP="00C61221">
      <w:pPr>
        <w:spacing w:before="60" w:after="60"/>
        <w:ind w:firstLine="720"/>
        <w:jc w:val="both"/>
        <w:rPr>
          <w:rFonts w:eastAsia="Calibri"/>
          <w:bCs/>
          <w:i/>
          <w:sz w:val="28"/>
          <w:szCs w:val="28"/>
        </w:rPr>
      </w:pPr>
      <w:r>
        <w:rPr>
          <w:bCs/>
          <w:i/>
          <w:sz w:val="28"/>
          <w:szCs w:val="28"/>
          <w:lang w:eastAsia="zh-CN"/>
        </w:rPr>
        <w:lastRenderedPageBreak/>
        <w:t>*</w:t>
      </w:r>
      <w:r w:rsidR="004517D4" w:rsidRPr="00C61221">
        <w:rPr>
          <w:bCs/>
          <w:i/>
          <w:sz w:val="28"/>
          <w:szCs w:val="28"/>
          <w:lang w:eastAsia="zh-CN"/>
        </w:rPr>
        <w:t xml:space="preserve"> </w:t>
      </w:r>
      <w:r w:rsidR="004517D4" w:rsidRPr="00C61221">
        <w:rPr>
          <w:rFonts w:eastAsia="Calibri"/>
          <w:bCs/>
          <w:i/>
          <w:sz w:val="28"/>
          <w:szCs w:val="28"/>
        </w:rPr>
        <w:t>Về tiếp cận vốn từ Tổ chức tín dụng (TCTD)</w:t>
      </w:r>
    </w:p>
    <w:p w:rsidR="004517D4" w:rsidRPr="00C61221" w:rsidRDefault="004517D4" w:rsidP="00C61221">
      <w:pPr>
        <w:spacing w:before="60" w:after="60"/>
        <w:ind w:firstLine="720"/>
        <w:jc w:val="both"/>
        <w:rPr>
          <w:sz w:val="28"/>
          <w:szCs w:val="28"/>
          <w:lang w:val="af-ZA" w:eastAsia="zh-CN"/>
        </w:rPr>
      </w:pPr>
      <w:r w:rsidRPr="00C61221">
        <w:rPr>
          <w:sz w:val="28"/>
          <w:szCs w:val="28"/>
          <w:lang w:val="af-ZA" w:eastAsia="zh-CN"/>
        </w:rPr>
        <w:t xml:space="preserve">Các </w:t>
      </w:r>
      <w:r w:rsidRPr="00C61221">
        <w:rPr>
          <w:rFonts w:eastAsia="Calibri"/>
          <w:bCs/>
          <w:sz w:val="28"/>
          <w:szCs w:val="28"/>
        </w:rPr>
        <w:t xml:space="preserve">TCTD </w:t>
      </w:r>
      <w:r w:rsidRPr="00C61221">
        <w:rPr>
          <w:sz w:val="28"/>
          <w:szCs w:val="28"/>
          <w:lang w:val="af-ZA" w:eastAsia="zh-CN"/>
        </w:rPr>
        <w:t xml:space="preserve">trên địa bàn đã có nhiều biện pháp tháo gỡ khó khăn cho các HTX để tiếp cận nguồn vốn ưu đãi, theo đó, trong năm 2020, có </w:t>
      </w:r>
      <w:r w:rsidR="00BC2682">
        <w:rPr>
          <w:sz w:val="28"/>
          <w:szCs w:val="28"/>
          <w:lang w:val="af-ZA" w:eastAsia="zh-CN"/>
        </w:rPr>
        <w:t>0</w:t>
      </w:r>
      <w:r w:rsidRPr="00C61221">
        <w:rPr>
          <w:sz w:val="28"/>
          <w:szCs w:val="28"/>
          <w:lang w:val="af-ZA" w:eastAsia="zh-CN"/>
        </w:rPr>
        <w:t xml:space="preserve">5 HTX và </w:t>
      </w:r>
      <w:r w:rsidR="00BC2682">
        <w:rPr>
          <w:sz w:val="28"/>
          <w:szCs w:val="28"/>
          <w:lang w:val="af-ZA" w:eastAsia="zh-CN"/>
        </w:rPr>
        <w:t>0</w:t>
      </w:r>
      <w:r w:rsidRPr="00C61221">
        <w:rPr>
          <w:sz w:val="28"/>
          <w:szCs w:val="28"/>
          <w:lang w:val="af-ZA" w:eastAsia="zh-CN"/>
        </w:rPr>
        <w:t xml:space="preserve">8 THT vay vốn của các </w:t>
      </w:r>
      <w:r w:rsidRPr="00C61221">
        <w:rPr>
          <w:rFonts w:eastAsia="Calibri"/>
          <w:bCs/>
          <w:sz w:val="28"/>
          <w:szCs w:val="28"/>
        </w:rPr>
        <w:t>TCTD</w:t>
      </w:r>
      <w:r w:rsidRPr="00C61221">
        <w:rPr>
          <w:sz w:val="28"/>
          <w:szCs w:val="28"/>
          <w:lang w:val="af-ZA" w:eastAsia="zh-CN"/>
        </w:rPr>
        <w:t xml:space="preserve"> trên địa bàn, với tổng số tiền cho vay là 3,690 tỷ đồng, dự nợ đến 31/12/2020 là 2,632 tỷ đồng </w:t>
      </w:r>
      <w:r w:rsidRPr="00C61221">
        <w:rPr>
          <w:i/>
          <w:sz w:val="28"/>
          <w:szCs w:val="28"/>
          <w:lang w:val="af-ZA" w:eastAsia="zh-CN"/>
        </w:rPr>
        <w:t>(trong đó dư nợ vay ngắn hạn là 1,2 tỷ đồng của 5 HTX, trung và dài hạn là 1,432 tỷ đồng),</w:t>
      </w:r>
      <w:r w:rsidRPr="00C61221">
        <w:rPr>
          <w:sz w:val="28"/>
          <w:szCs w:val="28"/>
          <w:lang w:val="af-ZA" w:eastAsia="zh-CN"/>
        </w:rPr>
        <w:t xml:space="preserve"> chiếm 0,004% so với tổng dư nợ trên địa bàn trên địa bàn. Tuy nhiên, số lượng HTX được tiếp cận với nguồn vốn tín dụng theo Nghị định số 55/2015/NĐ-CP còn ít so với số lượng HTX đang hoạt động trên địa bàn.</w:t>
      </w:r>
    </w:p>
    <w:p w:rsidR="004517D4" w:rsidRPr="00C61221" w:rsidRDefault="004517D4" w:rsidP="00C61221">
      <w:pPr>
        <w:spacing w:before="60" w:after="60"/>
        <w:ind w:firstLine="720"/>
        <w:jc w:val="right"/>
        <w:rPr>
          <w:sz w:val="28"/>
          <w:szCs w:val="28"/>
          <w:lang w:val="af-ZA" w:eastAsia="zh-CN"/>
        </w:rPr>
      </w:pPr>
      <w:r w:rsidRPr="00C61221">
        <w:rPr>
          <w:b/>
          <w:bCs/>
          <w:sz w:val="28"/>
          <w:szCs w:val="28"/>
          <w:lang w:val="af-ZA" w:eastAsia="zh-CN"/>
        </w:rPr>
        <w:t xml:space="preserve">Kết quả hỗ trợ tín dụng đối với KTTT từ năm 2013 đến năm 2021: </w:t>
      </w:r>
      <w:r w:rsidRPr="00C61221">
        <w:rPr>
          <w:bCs/>
          <w:i/>
          <w:szCs w:val="28"/>
          <w:lang w:val="af-ZA" w:eastAsia="zh-CN"/>
        </w:rPr>
        <w:t>Đơn vị tính: triệu đồng (trđ)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2"/>
        <w:gridCol w:w="1296"/>
        <w:gridCol w:w="1508"/>
        <w:gridCol w:w="1293"/>
        <w:gridCol w:w="1292"/>
        <w:gridCol w:w="1309"/>
      </w:tblGrid>
      <w:tr w:rsidR="004517D4" w:rsidRPr="00C61221" w:rsidTr="004517D4">
        <w:trPr>
          <w:jc w:val="center"/>
        </w:trPr>
        <w:tc>
          <w:tcPr>
            <w:tcW w:w="1298" w:type="dxa"/>
            <w:vMerge w:val="restart"/>
            <w:shd w:val="clear" w:color="auto" w:fill="auto"/>
            <w:vAlign w:val="center"/>
          </w:tcPr>
          <w:p w:rsidR="004517D4" w:rsidRPr="00C61221" w:rsidRDefault="004517D4" w:rsidP="00C61221">
            <w:pPr>
              <w:spacing w:before="60" w:after="60"/>
              <w:jc w:val="center"/>
              <w:rPr>
                <w:b/>
                <w:bCs/>
                <w:lang w:val="af-ZA" w:eastAsia="zh-CN"/>
              </w:rPr>
            </w:pPr>
            <w:r w:rsidRPr="00C61221">
              <w:rPr>
                <w:b/>
                <w:bCs/>
                <w:lang w:val="af-ZA" w:eastAsia="zh-CN"/>
              </w:rPr>
              <w:t>Năm</w:t>
            </w:r>
          </w:p>
        </w:tc>
        <w:tc>
          <w:tcPr>
            <w:tcW w:w="5389" w:type="dxa"/>
            <w:gridSpan w:val="4"/>
            <w:shd w:val="clear" w:color="auto" w:fill="auto"/>
            <w:vAlign w:val="center"/>
          </w:tcPr>
          <w:p w:rsidR="004517D4" w:rsidRPr="00C61221" w:rsidRDefault="004517D4" w:rsidP="00C61221">
            <w:pPr>
              <w:spacing w:before="60" w:after="60"/>
              <w:jc w:val="center"/>
              <w:rPr>
                <w:b/>
                <w:bCs/>
                <w:lang w:val="af-ZA" w:eastAsia="zh-CN"/>
              </w:rPr>
            </w:pPr>
            <w:r w:rsidRPr="00C61221">
              <w:rPr>
                <w:b/>
                <w:bCs/>
                <w:lang w:val="af-ZA" w:eastAsia="zh-CN"/>
              </w:rPr>
              <w:t>Dư nợ</w:t>
            </w:r>
          </w:p>
        </w:tc>
        <w:tc>
          <w:tcPr>
            <w:tcW w:w="2601" w:type="dxa"/>
            <w:gridSpan w:val="2"/>
            <w:shd w:val="clear" w:color="auto" w:fill="auto"/>
            <w:vAlign w:val="center"/>
          </w:tcPr>
          <w:p w:rsidR="004517D4" w:rsidRPr="00C61221" w:rsidRDefault="004517D4" w:rsidP="00C61221">
            <w:pPr>
              <w:spacing w:before="60" w:after="60"/>
              <w:jc w:val="center"/>
              <w:rPr>
                <w:b/>
                <w:bCs/>
                <w:lang w:val="af-ZA" w:eastAsia="zh-CN"/>
              </w:rPr>
            </w:pPr>
            <w:r w:rsidRPr="00C61221">
              <w:rPr>
                <w:b/>
                <w:bCs/>
                <w:lang w:val="af-ZA" w:eastAsia="zh-CN"/>
              </w:rPr>
              <w:t>Nợ xấu</w:t>
            </w:r>
          </w:p>
        </w:tc>
      </w:tr>
      <w:tr w:rsidR="004517D4" w:rsidRPr="00C61221" w:rsidTr="004517D4">
        <w:trPr>
          <w:jc w:val="center"/>
        </w:trPr>
        <w:tc>
          <w:tcPr>
            <w:tcW w:w="1298" w:type="dxa"/>
            <w:vMerge/>
            <w:shd w:val="clear" w:color="auto" w:fill="auto"/>
            <w:vAlign w:val="center"/>
          </w:tcPr>
          <w:p w:rsidR="004517D4" w:rsidRPr="00C61221" w:rsidRDefault="004517D4" w:rsidP="00C61221">
            <w:pPr>
              <w:spacing w:before="60" w:after="60"/>
              <w:jc w:val="center"/>
              <w:rPr>
                <w:b/>
                <w:bCs/>
                <w:lang w:val="af-ZA" w:eastAsia="zh-CN"/>
              </w:rPr>
            </w:pPr>
          </w:p>
        </w:tc>
        <w:tc>
          <w:tcPr>
            <w:tcW w:w="1292" w:type="dxa"/>
            <w:vMerge w:val="restart"/>
            <w:shd w:val="clear" w:color="auto" w:fill="auto"/>
            <w:vAlign w:val="center"/>
          </w:tcPr>
          <w:p w:rsidR="004517D4" w:rsidRPr="00C61221" w:rsidRDefault="004517D4" w:rsidP="00C61221">
            <w:pPr>
              <w:spacing w:before="60" w:after="60"/>
              <w:jc w:val="center"/>
              <w:rPr>
                <w:b/>
                <w:bCs/>
                <w:lang w:val="af-ZA" w:eastAsia="zh-CN"/>
              </w:rPr>
            </w:pPr>
            <w:r w:rsidRPr="00C61221">
              <w:rPr>
                <w:b/>
                <w:bCs/>
                <w:lang w:val="af-ZA" w:eastAsia="zh-CN"/>
              </w:rPr>
              <w:t>Số tiền</w:t>
            </w:r>
          </w:p>
        </w:tc>
        <w:tc>
          <w:tcPr>
            <w:tcW w:w="1296" w:type="dxa"/>
            <w:vMerge w:val="restart"/>
            <w:shd w:val="clear" w:color="auto" w:fill="auto"/>
            <w:vAlign w:val="center"/>
          </w:tcPr>
          <w:p w:rsidR="004517D4" w:rsidRPr="00C61221" w:rsidRDefault="004517D4" w:rsidP="00C61221">
            <w:pPr>
              <w:spacing w:before="60" w:after="60"/>
              <w:jc w:val="center"/>
              <w:rPr>
                <w:bCs/>
                <w:lang w:val="af-ZA" w:eastAsia="zh-CN"/>
              </w:rPr>
            </w:pPr>
            <w:r w:rsidRPr="00C61221">
              <w:rPr>
                <w:bCs/>
                <w:lang w:val="af-ZA" w:eastAsia="zh-CN"/>
              </w:rPr>
              <w:t>% so với tổng DN trên địa bàn</w:t>
            </w:r>
          </w:p>
        </w:tc>
        <w:tc>
          <w:tcPr>
            <w:tcW w:w="2801" w:type="dxa"/>
            <w:gridSpan w:val="2"/>
            <w:shd w:val="clear" w:color="auto" w:fill="auto"/>
            <w:vAlign w:val="center"/>
          </w:tcPr>
          <w:p w:rsidR="004517D4" w:rsidRPr="00C61221" w:rsidRDefault="004517D4" w:rsidP="00C61221">
            <w:pPr>
              <w:spacing w:before="60" w:after="60"/>
              <w:jc w:val="center"/>
              <w:rPr>
                <w:bCs/>
                <w:lang w:val="af-ZA" w:eastAsia="zh-CN"/>
              </w:rPr>
            </w:pPr>
            <w:r w:rsidRPr="00C61221">
              <w:rPr>
                <w:bCs/>
                <w:lang w:val="af-ZA" w:eastAsia="zh-CN"/>
              </w:rPr>
              <w:t>Tăng/giảm so với năm trước liền kề</w:t>
            </w:r>
          </w:p>
        </w:tc>
        <w:tc>
          <w:tcPr>
            <w:tcW w:w="1292" w:type="dxa"/>
            <w:vMerge w:val="restart"/>
            <w:shd w:val="clear" w:color="auto" w:fill="auto"/>
            <w:vAlign w:val="center"/>
          </w:tcPr>
          <w:p w:rsidR="004517D4" w:rsidRPr="00C61221" w:rsidRDefault="004517D4" w:rsidP="00C61221">
            <w:pPr>
              <w:spacing w:before="60" w:after="60"/>
              <w:jc w:val="center"/>
              <w:rPr>
                <w:bCs/>
                <w:lang w:val="af-ZA" w:eastAsia="zh-CN"/>
              </w:rPr>
            </w:pPr>
            <w:r w:rsidRPr="00C61221">
              <w:rPr>
                <w:bCs/>
                <w:lang w:val="af-ZA" w:eastAsia="zh-CN"/>
              </w:rPr>
              <w:t>Số tiền</w:t>
            </w:r>
          </w:p>
        </w:tc>
        <w:tc>
          <w:tcPr>
            <w:tcW w:w="1309" w:type="dxa"/>
            <w:vMerge w:val="restart"/>
            <w:shd w:val="clear" w:color="auto" w:fill="auto"/>
            <w:vAlign w:val="center"/>
          </w:tcPr>
          <w:p w:rsidR="004517D4" w:rsidRPr="00C61221" w:rsidRDefault="004517D4" w:rsidP="00C61221">
            <w:pPr>
              <w:spacing w:before="60" w:after="60"/>
              <w:jc w:val="center"/>
              <w:rPr>
                <w:bCs/>
                <w:lang w:val="af-ZA" w:eastAsia="zh-CN"/>
              </w:rPr>
            </w:pPr>
            <w:r w:rsidRPr="00C61221">
              <w:rPr>
                <w:bCs/>
                <w:lang w:val="af-ZA" w:eastAsia="zh-CN"/>
              </w:rPr>
              <w:t>% so với dư nợ cho vay KTTT</w:t>
            </w:r>
          </w:p>
        </w:tc>
      </w:tr>
      <w:tr w:rsidR="004517D4" w:rsidRPr="00C61221" w:rsidTr="004517D4">
        <w:trPr>
          <w:trHeight w:val="597"/>
          <w:jc w:val="center"/>
        </w:trPr>
        <w:tc>
          <w:tcPr>
            <w:tcW w:w="1298" w:type="dxa"/>
            <w:vMerge/>
            <w:shd w:val="clear" w:color="auto" w:fill="auto"/>
          </w:tcPr>
          <w:p w:rsidR="004517D4" w:rsidRPr="00C61221" w:rsidRDefault="004517D4" w:rsidP="00C61221">
            <w:pPr>
              <w:spacing w:before="60" w:after="60"/>
              <w:jc w:val="center"/>
              <w:rPr>
                <w:b/>
                <w:bCs/>
                <w:lang w:val="af-ZA" w:eastAsia="zh-CN"/>
              </w:rPr>
            </w:pPr>
          </w:p>
        </w:tc>
        <w:tc>
          <w:tcPr>
            <w:tcW w:w="1292" w:type="dxa"/>
            <w:vMerge/>
            <w:shd w:val="clear" w:color="auto" w:fill="auto"/>
          </w:tcPr>
          <w:p w:rsidR="004517D4" w:rsidRPr="00C61221" w:rsidRDefault="004517D4" w:rsidP="00C61221">
            <w:pPr>
              <w:spacing w:before="60" w:after="60"/>
              <w:jc w:val="both"/>
              <w:rPr>
                <w:b/>
                <w:bCs/>
                <w:lang w:val="af-ZA" w:eastAsia="zh-CN"/>
              </w:rPr>
            </w:pPr>
          </w:p>
        </w:tc>
        <w:tc>
          <w:tcPr>
            <w:tcW w:w="1296" w:type="dxa"/>
            <w:vMerge/>
            <w:shd w:val="clear" w:color="auto" w:fill="auto"/>
          </w:tcPr>
          <w:p w:rsidR="004517D4" w:rsidRPr="00C61221" w:rsidRDefault="004517D4" w:rsidP="00C61221">
            <w:pPr>
              <w:spacing w:before="60" w:after="60"/>
              <w:jc w:val="both"/>
              <w:rPr>
                <w:b/>
                <w:bCs/>
                <w:lang w:val="af-ZA" w:eastAsia="zh-CN"/>
              </w:rPr>
            </w:pP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Mức tăng/giảm</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Tỷ lệ (%)</w:t>
            </w:r>
          </w:p>
        </w:tc>
        <w:tc>
          <w:tcPr>
            <w:tcW w:w="1292" w:type="dxa"/>
            <w:vMerge/>
            <w:shd w:val="clear" w:color="auto" w:fill="auto"/>
          </w:tcPr>
          <w:p w:rsidR="004517D4" w:rsidRPr="00C61221" w:rsidRDefault="004517D4" w:rsidP="00C61221">
            <w:pPr>
              <w:spacing w:before="60" w:after="60"/>
              <w:jc w:val="both"/>
              <w:rPr>
                <w:b/>
                <w:bCs/>
                <w:lang w:val="af-ZA" w:eastAsia="zh-CN"/>
              </w:rPr>
            </w:pPr>
          </w:p>
        </w:tc>
        <w:tc>
          <w:tcPr>
            <w:tcW w:w="1309" w:type="dxa"/>
            <w:vMerge/>
            <w:shd w:val="clear" w:color="auto" w:fill="auto"/>
          </w:tcPr>
          <w:p w:rsidR="004517D4" w:rsidRPr="00C61221" w:rsidRDefault="004517D4" w:rsidP="00C61221">
            <w:pPr>
              <w:spacing w:before="60" w:after="60"/>
              <w:jc w:val="both"/>
              <w:rPr>
                <w:b/>
                <w:bCs/>
                <w:lang w:val="af-ZA" w:eastAsia="zh-CN"/>
              </w:rPr>
            </w:pP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2012</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14.688</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0,05</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912</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6,62</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191</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1,3</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2013</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13.419</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0,04</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-1.269</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-8,64</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120</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0,89</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2014</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16.649</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0,04</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3.230</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24,07</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403</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2,42</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2015</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13.511</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0,03</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-3.138</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-18,85</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49</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0,36</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2016</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8.426</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0,02</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-5.085</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-0,38</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273</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3,24</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2017</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4.587</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0,01</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-3.839</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-0,46</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148</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3,23</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2018</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9.168</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0,02</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4.581</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99,87</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139</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1,52</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2019</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3.828</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0,01</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-5.340</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-58,24</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139</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3,63</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2020</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2.632</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0,004</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-1.196</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-31,24</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139</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5,28</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31/8/2021</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3.340</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0,01</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708</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26,89</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141</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4,22</w:t>
            </w:r>
          </w:p>
        </w:tc>
      </w:tr>
      <w:tr w:rsidR="004517D4" w:rsidRPr="00C61221" w:rsidTr="004517D4">
        <w:trPr>
          <w:jc w:val="center"/>
        </w:trPr>
        <w:tc>
          <w:tcPr>
            <w:tcW w:w="1298"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Ứơc năm 2021</w:t>
            </w:r>
          </w:p>
        </w:tc>
        <w:tc>
          <w:tcPr>
            <w:tcW w:w="1292" w:type="dxa"/>
            <w:shd w:val="clear" w:color="auto" w:fill="auto"/>
          </w:tcPr>
          <w:p w:rsidR="004517D4" w:rsidRPr="00C61221" w:rsidRDefault="004517D4" w:rsidP="00C61221">
            <w:pPr>
              <w:spacing w:before="60" w:after="60"/>
              <w:jc w:val="center"/>
              <w:rPr>
                <w:b/>
                <w:bCs/>
                <w:lang w:val="af-ZA" w:eastAsia="zh-CN"/>
              </w:rPr>
            </w:pPr>
            <w:r w:rsidRPr="00C61221">
              <w:rPr>
                <w:b/>
                <w:bCs/>
                <w:lang w:val="af-ZA" w:eastAsia="zh-CN"/>
              </w:rPr>
              <w:t>2.922</w:t>
            </w:r>
          </w:p>
        </w:tc>
        <w:tc>
          <w:tcPr>
            <w:tcW w:w="1296"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0,01</w:t>
            </w:r>
          </w:p>
        </w:tc>
        <w:tc>
          <w:tcPr>
            <w:tcW w:w="1508"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290</w:t>
            </w:r>
          </w:p>
        </w:tc>
        <w:tc>
          <w:tcPr>
            <w:tcW w:w="1293"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11,02</w:t>
            </w:r>
          </w:p>
        </w:tc>
        <w:tc>
          <w:tcPr>
            <w:tcW w:w="1292"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140</w:t>
            </w:r>
          </w:p>
        </w:tc>
        <w:tc>
          <w:tcPr>
            <w:tcW w:w="1309" w:type="dxa"/>
            <w:shd w:val="clear" w:color="auto" w:fill="auto"/>
          </w:tcPr>
          <w:p w:rsidR="004517D4" w:rsidRPr="00C61221" w:rsidRDefault="004517D4" w:rsidP="00C61221">
            <w:pPr>
              <w:spacing w:before="60" w:after="60"/>
              <w:jc w:val="center"/>
              <w:rPr>
                <w:bCs/>
                <w:lang w:val="af-ZA" w:eastAsia="zh-CN"/>
              </w:rPr>
            </w:pPr>
            <w:r w:rsidRPr="00C61221">
              <w:rPr>
                <w:bCs/>
                <w:lang w:val="af-ZA" w:eastAsia="zh-CN"/>
              </w:rPr>
              <w:t>4,79</w:t>
            </w:r>
          </w:p>
        </w:tc>
      </w:tr>
    </w:tbl>
    <w:p w:rsidR="004517D4" w:rsidRPr="00C61221" w:rsidRDefault="004517D4" w:rsidP="00C61221">
      <w:pPr>
        <w:widowControl w:val="0"/>
        <w:spacing w:before="60" w:after="60"/>
        <w:ind w:firstLine="851"/>
        <w:jc w:val="both"/>
        <w:rPr>
          <w:sz w:val="28"/>
          <w:szCs w:val="28"/>
          <w:lang w:val="af-ZA" w:eastAsia="zh-CN"/>
        </w:rPr>
      </w:pPr>
    </w:p>
    <w:p w:rsidR="004517D4" w:rsidRPr="00C61221" w:rsidRDefault="004517D4" w:rsidP="00C61221">
      <w:pPr>
        <w:widowControl w:val="0"/>
        <w:spacing w:before="60" w:after="60"/>
        <w:ind w:firstLine="851"/>
        <w:jc w:val="both"/>
        <w:rPr>
          <w:sz w:val="28"/>
          <w:szCs w:val="28"/>
          <w:lang w:val="af-ZA" w:eastAsia="zh-CN"/>
        </w:rPr>
      </w:pPr>
      <w:r w:rsidRPr="00C61221">
        <w:rPr>
          <w:sz w:val="28"/>
          <w:szCs w:val="28"/>
          <w:lang w:val="af-ZA" w:eastAsia="zh-CN"/>
        </w:rPr>
        <w:t xml:space="preserve">Kết quả trên cho thấy tỷ lệ cho vay khu vực KTTT có tăng, nhưng vẫn còn hạn chế. Cụ thể, đến thời điểm 31/8/2021, </w:t>
      </w:r>
      <w:r w:rsidRPr="00C61221">
        <w:rPr>
          <w:sz w:val="28"/>
          <w:szCs w:val="28"/>
          <w:lang w:val="es-BO" w:eastAsia="zh-CN"/>
        </w:rPr>
        <w:t xml:space="preserve">dư nợ cho vay của các </w:t>
      </w:r>
      <w:r w:rsidRPr="00C61221">
        <w:rPr>
          <w:rFonts w:eastAsia="Calibri"/>
          <w:bCs/>
          <w:sz w:val="28"/>
          <w:szCs w:val="28"/>
        </w:rPr>
        <w:t>TCTD</w:t>
      </w:r>
      <w:r w:rsidRPr="00C61221">
        <w:rPr>
          <w:sz w:val="28"/>
          <w:szCs w:val="28"/>
          <w:lang w:val="es-BO" w:eastAsia="zh-CN"/>
        </w:rPr>
        <w:t xml:space="preserve"> trên địa bàn đối với lĩnh vực KTTT là 3.340 trđ, tăng 708 trđ so với đầu năm, tỷ lệ tăng 26,89%;  nợ xấu chiếm tỷ lệ 4,22%/dư nợ KTTT.</w:t>
      </w:r>
    </w:p>
    <w:p w:rsidR="004517D4" w:rsidRPr="00C61221" w:rsidRDefault="004517D4" w:rsidP="00C61221">
      <w:pPr>
        <w:spacing w:before="60" w:after="60"/>
        <w:ind w:firstLine="567"/>
        <w:jc w:val="both"/>
        <w:rPr>
          <w:rFonts w:eastAsia="Calibri"/>
          <w:bCs/>
          <w:sz w:val="28"/>
          <w:szCs w:val="28"/>
          <w:lang w:val="zu-ZA"/>
        </w:rPr>
      </w:pPr>
      <w:r w:rsidRPr="00C61221">
        <w:rPr>
          <w:rFonts w:eastAsia="Calibri"/>
          <w:i/>
          <w:spacing w:val="-2"/>
          <w:sz w:val="28"/>
          <w:szCs w:val="28"/>
        </w:rPr>
        <w:t xml:space="preserve">Nguyên nhân </w:t>
      </w:r>
      <w:r w:rsidRPr="00C61221">
        <w:rPr>
          <w:sz w:val="28"/>
          <w:szCs w:val="28"/>
          <w:lang w:val="af-ZA" w:eastAsia="zh-CN"/>
        </w:rPr>
        <w:t>chủ yếu do HTX chưa đáp ứng đủ điều kiện vay vốn theo quy định, nhất là việc không đáp ứng đầy đủ các điều kiện về năng lực tài chính, tài sản đảm bảo nợ vay cũng như phương án sản xuất kinh doanh không khả thi.</w:t>
      </w:r>
    </w:p>
    <w:p w:rsidR="004517D4" w:rsidRPr="00C61221" w:rsidRDefault="000E0E7C" w:rsidP="00C61221">
      <w:pPr>
        <w:spacing w:before="60" w:after="60"/>
        <w:ind w:firstLine="567"/>
        <w:jc w:val="both"/>
        <w:rPr>
          <w:sz w:val="28"/>
          <w:szCs w:val="28"/>
          <w:shd w:val="clear" w:color="auto" w:fill="FFFFFF"/>
          <w:lang w:eastAsia="zh-CN"/>
        </w:rPr>
      </w:pPr>
      <w:r>
        <w:rPr>
          <w:i/>
          <w:sz w:val="28"/>
          <w:szCs w:val="28"/>
          <w:lang w:eastAsia="zh-CN"/>
        </w:rPr>
        <w:t>*</w:t>
      </w:r>
      <w:r w:rsidR="004517D4" w:rsidRPr="00C61221">
        <w:rPr>
          <w:i/>
          <w:sz w:val="28"/>
          <w:szCs w:val="28"/>
          <w:lang w:eastAsia="zh-CN"/>
        </w:rPr>
        <w:t xml:space="preserve"> </w:t>
      </w:r>
      <w:r w:rsidR="004517D4" w:rsidRPr="00C61221">
        <w:rPr>
          <w:i/>
          <w:sz w:val="28"/>
          <w:szCs w:val="28"/>
          <w:lang w:val="vi-VN" w:eastAsia="zh-CN"/>
        </w:rPr>
        <w:t>Thực hiện h</w:t>
      </w:r>
      <w:r w:rsidR="004517D4" w:rsidRPr="00C61221">
        <w:rPr>
          <w:i/>
          <w:sz w:val="28"/>
          <w:szCs w:val="28"/>
          <w:lang w:val="af-ZA" w:eastAsia="zh-CN"/>
        </w:rPr>
        <w:t>ỗ trợ g</w:t>
      </w:r>
      <w:r w:rsidR="004517D4" w:rsidRPr="00C61221">
        <w:rPr>
          <w:i/>
          <w:sz w:val="28"/>
          <w:szCs w:val="28"/>
          <w:lang w:val="sv-SE" w:eastAsia="zh-CN"/>
        </w:rPr>
        <w:t>iảm tổn thất trong nông nghiệp</w:t>
      </w:r>
      <w:r w:rsidR="004517D4" w:rsidRPr="00C61221">
        <w:rPr>
          <w:sz w:val="28"/>
          <w:szCs w:val="28"/>
          <w:lang w:val="sv-SE" w:eastAsia="zh-CN"/>
        </w:rPr>
        <w:t xml:space="preserve"> thực hiện theo Quyết định số 68/2013/QĐ-TTg ngày 14/11/2013 của Thủ tướng Chính phủ</w:t>
      </w:r>
      <w:r w:rsidR="004517D4" w:rsidRPr="00C61221">
        <w:rPr>
          <w:sz w:val="28"/>
          <w:szCs w:val="28"/>
          <w:lang w:val="vi-VN" w:eastAsia="zh-CN"/>
        </w:rPr>
        <w:t>, đ</w:t>
      </w:r>
      <w:r w:rsidR="004517D4" w:rsidRPr="00C61221">
        <w:rPr>
          <w:sz w:val="28"/>
          <w:szCs w:val="28"/>
          <w:lang w:val="af-ZA" w:eastAsia="zh-CN"/>
        </w:rPr>
        <w:t xml:space="preserve">ến tháng </w:t>
      </w:r>
      <w:r w:rsidR="004517D4" w:rsidRPr="00C61221">
        <w:rPr>
          <w:sz w:val="28"/>
          <w:szCs w:val="28"/>
          <w:lang w:val="vi-VN" w:eastAsia="zh-CN"/>
        </w:rPr>
        <w:t>6</w:t>
      </w:r>
      <w:r w:rsidR="004517D4" w:rsidRPr="00C61221">
        <w:rPr>
          <w:sz w:val="28"/>
          <w:szCs w:val="28"/>
          <w:lang w:val="af-ZA" w:eastAsia="zh-CN"/>
        </w:rPr>
        <w:t xml:space="preserve">/2021, </w:t>
      </w:r>
      <w:r w:rsidR="004517D4" w:rsidRPr="00C61221">
        <w:rPr>
          <w:sz w:val="28"/>
          <w:szCs w:val="28"/>
          <w:lang w:val="sv-SE" w:eastAsia="zh-CN"/>
        </w:rPr>
        <w:t xml:space="preserve">dư nợ tại các ngân hàng trên địa bàn </w:t>
      </w:r>
      <w:r>
        <w:rPr>
          <w:sz w:val="28"/>
          <w:szCs w:val="28"/>
          <w:lang w:val="sv-SE" w:eastAsia="zh-CN"/>
        </w:rPr>
        <w:t>T</w:t>
      </w:r>
      <w:r w:rsidR="004517D4" w:rsidRPr="00C61221">
        <w:rPr>
          <w:sz w:val="28"/>
          <w:szCs w:val="28"/>
          <w:lang w:val="sv-SE" w:eastAsia="zh-CN"/>
        </w:rPr>
        <w:t>ỉnh</w:t>
      </w:r>
      <w:r w:rsidR="004517D4" w:rsidRPr="00C61221">
        <w:rPr>
          <w:sz w:val="28"/>
          <w:szCs w:val="28"/>
          <w:shd w:val="clear" w:color="auto" w:fill="FFFFFF"/>
          <w:lang w:val="af-ZA" w:eastAsia="zh-CN"/>
        </w:rPr>
        <w:t xml:space="preserve"> là </w:t>
      </w:r>
      <w:r w:rsidR="004517D4" w:rsidRPr="00C61221">
        <w:rPr>
          <w:sz w:val="28"/>
          <w:szCs w:val="28"/>
          <w:shd w:val="clear" w:color="auto" w:fill="FFFFFF"/>
          <w:lang w:val="vi-VN" w:eastAsia="zh-CN"/>
        </w:rPr>
        <w:t>62.584 triệu</w:t>
      </w:r>
      <w:r w:rsidR="004517D4" w:rsidRPr="00C61221">
        <w:rPr>
          <w:sz w:val="28"/>
          <w:szCs w:val="28"/>
          <w:shd w:val="clear" w:color="auto" w:fill="FFFFFF"/>
          <w:lang w:val="af-ZA" w:eastAsia="zh-CN"/>
        </w:rPr>
        <w:t xml:space="preserve"> đồng, so với </w:t>
      </w:r>
      <w:r w:rsidR="004517D4" w:rsidRPr="00C61221">
        <w:rPr>
          <w:sz w:val="28"/>
          <w:szCs w:val="28"/>
          <w:shd w:val="clear" w:color="auto" w:fill="FFFFFF"/>
          <w:lang w:val="vi-VN" w:eastAsia="zh-CN"/>
        </w:rPr>
        <w:t>đầu năm 2021,</w:t>
      </w:r>
      <w:r w:rsidR="004517D4" w:rsidRPr="00C61221">
        <w:rPr>
          <w:sz w:val="28"/>
          <w:szCs w:val="28"/>
          <w:shd w:val="clear" w:color="auto" w:fill="FFFFFF"/>
          <w:lang w:val="af-ZA" w:eastAsia="zh-CN"/>
        </w:rPr>
        <w:t xml:space="preserve"> giảm </w:t>
      </w:r>
      <w:r w:rsidR="004517D4" w:rsidRPr="00C61221">
        <w:rPr>
          <w:sz w:val="28"/>
          <w:szCs w:val="28"/>
          <w:shd w:val="clear" w:color="auto" w:fill="FFFFFF"/>
          <w:lang w:val="vi-VN" w:eastAsia="zh-CN"/>
        </w:rPr>
        <w:t>34.697 triệu đồng</w:t>
      </w:r>
      <w:r w:rsidR="004517D4" w:rsidRPr="00C61221">
        <w:rPr>
          <w:sz w:val="28"/>
          <w:szCs w:val="28"/>
          <w:shd w:val="clear" w:color="auto" w:fill="FFFFFF"/>
          <w:lang w:val="af-ZA" w:eastAsia="zh-CN"/>
        </w:rPr>
        <w:t xml:space="preserve">, tỷ lệ giảm </w:t>
      </w:r>
      <w:r w:rsidR="004517D4" w:rsidRPr="00C61221">
        <w:rPr>
          <w:sz w:val="28"/>
          <w:szCs w:val="28"/>
          <w:shd w:val="clear" w:color="auto" w:fill="FFFFFF"/>
          <w:lang w:val="vi-VN" w:eastAsia="zh-CN"/>
        </w:rPr>
        <w:t>35,67</w:t>
      </w:r>
      <w:r w:rsidR="004517D4" w:rsidRPr="00C61221">
        <w:rPr>
          <w:sz w:val="28"/>
          <w:szCs w:val="28"/>
          <w:shd w:val="clear" w:color="auto" w:fill="FFFFFF"/>
          <w:lang w:val="af-ZA" w:eastAsia="zh-CN"/>
        </w:rPr>
        <w:t>%.</w:t>
      </w:r>
    </w:p>
    <w:p w:rsidR="004517D4" w:rsidRPr="00C61221" w:rsidRDefault="004517D4" w:rsidP="00C61221">
      <w:pPr>
        <w:spacing w:before="60" w:after="60"/>
        <w:ind w:firstLine="567"/>
        <w:jc w:val="both"/>
        <w:rPr>
          <w:rFonts w:eastAsia="Calibri"/>
          <w:bCs/>
          <w:i/>
          <w:sz w:val="28"/>
          <w:szCs w:val="28"/>
          <w:lang w:val="zu-ZA"/>
        </w:rPr>
      </w:pPr>
      <w:r w:rsidRPr="00C61221">
        <w:rPr>
          <w:sz w:val="28"/>
          <w:szCs w:val="28"/>
          <w:shd w:val="clear" w:color="auto" w:fill="FFFFFF"/>
          <w:lang w:val="af-ZA" w:eastAsia="zh-CN"/>
        </w:rPr>
        <w:t xml:space="preserve">Luỹ kế doanh số cho vay từ năm 2016 đến nay là 575.184 triệu đồng. Trong đó, doanh số cho vay một số loại máy móc thiết bị có tỷ lệ hoàn thành </w:t>
      </w:r>
      <w:r w:rsidRPr="00C61221">
        <w:rPr>
          <w:sz w:val="28"/>
          <w:szCs w:val="28"/>
          <w:shd w:val="clear" w:color="auto" w:fill="FFFFFF"/>
          <w:lang w:val="af-ZA" w:eastAsia="zh-CN"/>
        </w:rPr>
        <w:lastRenderedPageBreak/>
        <w:t>vượt so với kế hoạch nhu cầu vốn vay giai đoạn 2016</w:t>
      </w:r>
      <w:r w:rsidR="000E0E7C">
        <w:rPr>
          <w:sz w:val="28"/>
          <w:szCs w:val="28"/>
          <w:shd w:val="clear" w:color="auto" w:fill="FFFFFF"/>
          <w:lang w:val="af-ZA" w:eastAsia="zh-CN"/>
        </w:rPr>
        <w:t xml:space="preserve"> </w:t>
      </w:r>
      <w:r w:rsidRPr="00C61221">
        <w:rPr>
          <w:sz w:val="28"/>
          <w:szCs w:val="28"/>
          <w:shd w:val="clear" w:color="auto" w:fill="FFFFFF"/>
          <w:lang w:val="af-ZA" w:eastAsia="zh-CN"/>
        </w:rPr>
        <w:t>-</w:t>
      </w:r>
      <w:r w:rsidR="000E0E7C">
        <w:rPr>
          <w:sz w:val="28"/>
          <w:szCs w:val="28"/>
          <w:shd w:val="clear" w:color="auto" w:fill="FFFFFF"/>
          <w:lang w:val="af-ZA" w:eastAsia="zh-CN"/>
        </w:rPr>
        <w:t xml:space="preserve"> </w:t>
      </w:r>
      <w:r w:rsidRPr="00C61221">
        <w:rPr>
          <w:sz w:val="28"/>
          <w:szCs w:val="28"/>
          <w:shd w:val="clear" w:color="auto" w:fill="FFFFFF"/>
          <w:lang w:val="af-ZA" w:eastAsia="zh-CN"/>
        </w:rPr>
        <w:t>2020 theo Kế hoạch số 165/KH-UBND ngày 11/11/2014 của U</w:t>
      </w:r>
      <w:r w:rsidR="000E0E7C">
        <w:rPr>
          <w:sz w:val="28"/>
          <w:szCs w:val="28"/>
          <w:shd w:val="clear" w:color="auto" w:fill="FFFFFF"/>
          <w:lang w:val="af-ZA" w:eastAsia="zh-CN"/>
        </w:rPr>
        <w:t>BND</w:t>
      </w:r>
      <w:r w:rsidRPr="00C61221">
        <w:rPr>
          <w:sz w:val="28"/>
          <w:szCs w:val="28"/>
          <w:shd w:val="clear" w:color="auto" w:fill="FFFFFF"/>
          <w:lang w:val="af-ZA" w:eastAsia="zh-CN"/>
        </w:rPr>
        <w:t xml:space="preserve"> Tỉnh, cụ thể: doanh số cho vay mua máy gặt đập liên hợp có tỷ lệ hoàn thành là 424,67%, máy kéo là 773,56% và máy cày là 204,13%.</w:t>
      </w:r>
    </w:p>
    <w:p w:rsidR="004517D4" w:rsidRPr="00C61221" w:rsidRDefault="004517D4" w:rsidP="00C61221">
      <w:pPr>
        <w:spacing w:before="60" w:after="60"/>
        <w:ind w:firstLine="567"/>
        <w:jc w:val="both"/>
        <w:rPr>
          <w:i/>
          <w:sz w:val="28"/>
          <w:szCs w:val="28"/>
          <w:lang w:eastAsia="zh-CN"/>
        </w:rPr>
      </w:pPr>
      <w:r w:rsidRPr="00C61221">
        <w:rPr>
          <w:i/>
          <w:sz w:val="28"/>
          <w:szCs w:val="28"/>
          <w:lang w:eastAsia="zh-CN"/>
        </w:rPr>
        <w:t>d) Chính sách hỗ trợ về khoa học và công nghệ</w:t>
      </w:r>
      <w:r w:rsidR="000E0E7C">
        <w:rPr>
          <w:i/>
          <w:sz w:val="28"/>
          <w:szCs w:val="28"/>
          <w:lang w:eastAsia="zh-CN"/>
        </w:rPr>
        <w:t xml:space="preserve"> (KHCN)</w:t>
      </w:r>
    </w:p>
    <w:p w:rsidR="004517D4" w:rsidRPr="00C61221" w:rsidRDefault="004517D4" w:rsidP="00C61221">
      <w:pPr>
        <w:shd w:val="clear" w:color="auto" w:fill="FFFFFF"/>
        <w:spacing w:before="60" w:after="60"/>
        <w:ind w:firstLine="567"/>
        <w:jc w:val="both"/>
        <w:rPr>
          <w:bCs/>
          <w:sz w:val="28"/>
          <w:szCs w:val="28"/>
          <w:lang w:val="vi-VN" w:eastAsia="zh-CN"/>
        </w:rPr>
      </w:pPr>
      <w:r w:rsidRPr="00C61221">
        <w:rPr>
          <w:rFonts w:eastAsia="Calibri"/>
          <w:bCs/>
          <w:sz w:val="28"/>
          <w:szCs w:val="28"/>
          <w:lang w:val="vi-VN"/>
        </w:rPr>
        <w:t xml:space="preserve">- </w:t>
      </w:r>
      <w:r w:rsidRPr="00C61221">
        <w:rPr>
          <w:rFonts w:eastAsia="Calibri"/>
          <w:bCs/>
          <w:sz w:val="28"/>
          <w:szCs w:val="28"/>
          <w:lang w:val="pt-PT"/>
        </w:rPr>
        <w:t xml:space="preserve">Tỉnh đã triển khai </w:t>
      </w:r>
      <w:r w:rsidRPr="00C61221">
        <w:rPr>
          <w:sz w:val="28"/>
          <w:szCs w:val="28"/>
          <w:lang w:val="pt-PT" w:eastAsia="zh-CN"/>
        </w:rPr>
        <w:t xml:space="preserve">thực hiện mới 26 nhiệm vụ </w:t>
      </w:r>
      <w:r w:rsidR="000E0E7C">
        <w:rPr>
          <w:sz w:val="28"/>
          <w:szCs w:val="28"/>
          <w:lang w:val="pt-PT" w:eastAsia="zh-CN"/>
        </w:rPr>
        <w:t>KHCN</w:t>
      </w:r>
      <w:r w:rsidRPr="00C61221">
        <w:rPr>
          <w:sz w:val="28"/>
          <w:szCs w:val="28"/>
          <w:lang w:val="pt-PT" w:eastAsia="zh-CN"/>
        </w:rPr>
        <w:t xml:space="preserve"> cấp tỉnh phục vụ cho KTTT, HTX, </w:t>
      </w:r>
      <w:r w:rsidRPr="00C61221">
        <w:rPr>
          <w:sz w:val="28"/>
          <w:szCs w:val="28"/>
          <w:lang w:eastAsia="zh-CN"/>
        </w:rPr>
        <w:t xml:space="preserve">các </w:t>
      </w:r>
      <w:r w:rsidR="000E0E7C">
        <w:rPr>
          <w:sz w:val="28"/>
          <w:szCs w:val="28"/>
          <w:lang w:eastAsia="zh-CN"/>
        </w:rPr>
        <w:t>THT</w:t>
      </w:r>
      <w:r w:rsidRPr="00C61221">
        <w:rPr>
          <w:sz w:val="28"/>
          <w:szCs w:val="28"/>
          <w:lang w:eastAsia="zh-CN"/>
        </w:rPr>
        <w:t xml:space="preserve"> và Hội quán </w:t>
      </w:r>
      <w:r w:rsidRPr="00C61221">
        <w:rPr>
          <w:sz w:val="28"/>
          <w:szCs w:val="28"/>
          <w:lang w:val="pt-PT" w:eastAsia="zh-CN"/>
        </w:rPr>
        <w:t xml:space="preserve">phát triển; bao gồm 18 nhiệm vụ đã chuyển giao và 08 nhiệm vụ hiện đang theo dõi triển khai thực hiện. </w:t>
      </w:r>
      <w:r w:rsidRPr="00C61221">
        <w:rPr>
          <w:bCs/>
          <w:sz w:val="28"/>
          <w:szCs w:val="28"/>
          <w:lang w:eastAsia="zh-CN"/>
        </w:rPr>
        <w:t xml:space="preserve">Tất cả các đề tài, dự án sau đánh giá nghiệm thu trong giai đoạn này, kết quả đều đã được chuyển giao đến cơ quan chuyên ngành, doanh nghiệp, HTX, nông dân sản xuất để phổ biến, áp dụng, nhân rộng vào thực tế sản xuất trên địa bàn </w:t>
      </w:r>
      <w:r w:rsidR="000E0E7C">
        <w:rPr>
          <w:bCs/>
          <w:sz w:val="28"/>
          <w:szCs w:val="28"/>
          <w:lang w:eastAsia="zh-CN"/>
        </w:rPr>
        <w:t>T</w:t>
      </w:r>
      <w:r w:rsidRPr="00C61221">
        <w:rPr>
          <w:bCs/>
          <w:sz w:val="28"/>
          <w:szCs w:val="28"/>
          <w:lang w:eastAsia="zh-CN"/>
        </w:rPr>
        <w:t>ỉnh.</w:t>
      </w:r>
    </w:p>
    <w:p w:rsidR="004517D4" w:rsidRPr="00C61221" w:rsidRDefault="004517D4" w:rsidP="00C61221">
      <w:pPr>
        <w:shd w:val="clear" w:color="auto" w:fill="FFFFFF"/>
        <w:spacing w:before="60" w:after="60"/>
        <w:ind w:firstLine="567"/>
        <w:jc w:val="both"/>
        <w:rPr>
          <w:bCs/>
          <w:sz w:val="28"/>
          <w:szCs w:val="28"/>
          <w:lang w:val="vi-VN" w:eastAsia="zh-CN"/>
        </w:rPr>
      </w:pPr>
      <w:r w:rsidRPr="00C61221">
        <w:rPr>
          <w:sz w:val="28"/>
          <w:szCs w:val="28"/>
          <w:lang w:val="vi-VN" w:eastAsia="zh-CN"/>
        </w:rPr>
        <w:t>*</w:t>
      </w:r>
      <w:r w:rsidRPr="00C61221">
        <w:rPr>
          <w:sz w:val="28"/>
          <w:szCs w:val="28"/>
          <w:lang w:val="pt-BR" w:eastAsia="zh-CN"/>
        </w:rPr>
        <w:t xml:space="preserve"> Kết quả nội bật</w:t>
      </w:r>
      <w:r w:rsidR="000E0E7C">
        <w:rPr>
          <w:sz w:val="28"/>
          <w:szCs w:val="28"/>
          <w:lang w:val="pt-BR" w:eastAsia="zh-CN"/>
        </w:rPr>
        <w:t>:</w:t>
      </w:r>
      <w:r w:rsidRPr="00C61221">
        <w:rPr>
          <w:sz w:val="28"/>
          <w:szCs w:val="28"/>
          <w:lang w:val="pt-BR" w:eastAsia="zh-CN"/>
        </w:rPr>
        <w:t xml:space="preserve"> Đề tài</w:t>
      </w:r>
      <w:r w:rsidRPr="00C61221">
        <w:rPr>
          <w:sz w:val="28"/>
          <w:szCs w:val="28"/>
          <w:lang w:val="en-GB" w:eastAsia="zh-CN"/>
        </w:rPr>
        <w:t xml:space="preserve"> “</w:t>
      </w:r>
      <w:r w:rsidRPr="00C61221">
        <w:rPr>
          <w:i/>
          <w:sz w:val="28"/>
          <w:szCs w:val="28"/>
          <w:lang w:val="en-GB" w:eastAsia="zh-CN"/>
        </w:rPr>
        <w:t>Chuyển giao tiến bộ kỹ thuật và xây dựng mô hình sản xuất chanh đạt chứng nhận VietGAP</w:t>
      </w:r>
      <w:r w:rsidRPr="00C61221">
        <w:rPr>
          <w:sz w:val="28"/>
          <w:szCs w:val="28"/>
          <w:lang w:val="en-GB" w:eastAsia="zh-CN"/>
        </w:rPr>
        <w:t>”</w:t>
      </w:r>
      <w:r w:rsidR="000E0E7C">
        <w:rPr>
          <w:sz w:val="28"/>
          <w:szCs w:val="28"/>
          <w:lang w:val="en-GB" w:eastAsia="zh-CN"/>
        </w:rPr>
        <w:t xml:space="preserve"> </w:t>
      </w:r>
      <w:r w:rsidRPr="00C61221">
        <w:rPr>
          <w:sz w:val="28"/>
          <w:szCs w:val="28"/>
          <w:lang w:val="en-GB" w:eastAsia="zh-CN"/>
        </w:rPr>
        <w:t xml:space="preserve">tại huyện Cao Lãnh và huyện Châu </w:t>
      </w:r>
      <w:r w:rsidRPr="00C61221">
        <w:rPr>
          <w:sz w:val="28"/>
          <w:szCs w:val="28"/>
          <w:lang w:val="vi-VN" w:eastAsia="zh-CN"/>
        </w:rPr>
        <w:t>Thành; k</w:t>
      </w:r>
      <w:r w:rsidRPr="00C61221">
        <w:rPr>
          <w:sz w:val="28"/>
          <w:szCs w:val="28"/>
          <w:lang w:val="en-GB" w:eastAsia="zh-CN"/>
        </w:rPr>
        <w:t>ết quả đã xây dựng thành công mô hình chanh đạt chứng nhận VietGAP với diện tích 47,66ha, sản lượng 1.750 tấn/năm (Châu Thành là 27,3ha và huyện Cao Lãnh là 20,36ha với tổng số hộ là 41 hộ)</w:t>
      </w:r>
      <w:r w:rsidRPr="00C61221">
        <w:rPr>
          <w:sz w:val="28"/>
          <w:szCs w:val="28"/>
          <w:lang w:val="vi-VN" w:eastAsia="zh-CN"/>
        </w:rPr>
        <w:t xml:space="preserve">; </w:t>
      </w:r>
      <w:r w:rsidRPr="00C61221">
        <w:rPr>
          <w:sz w:val="28"/>
          <w:szCs w:val="28"/>
          <w:lang w:val="pt-BR" w:eastAsia="zh-CN"/>
        </w:rPr>
        <w:t xml:space="preserve">thông qua kết quả của </w:t>
      </w:r>
      <w:r w:rsidRPr="00C61221">
        <w:rPr>
          <w:sz w:val="28"/>
          <w:szCs w:val="28"/>
          <w:lang w:val="vi-VN" w:eastAsia="zh-CN"/>
        </w:rPr>
        <w:t>Đ</w:t>
      </w:r>
      <w:r w:rsidRPr="00C61221">
        <w:rPr>
          <w:sz w:val="28"/>
          <w:szCs w:val="28"/>
          <w:lang w:val="pt-BR" w:eastAsia="zh-CN"/>
        </w:rPr>
        <w:t>ề tài bước đầu đã liên kết tiêu thụ được với Công ty Vineco với sản lượng ổn định gần 85 tấn/năm, giúp tạo nguồn thu nhập cho nông dân.</w:t>
      </w:r>
      <w:r w:rsidR="000E0E7C">
        <w:rPr>
          <w:sz w:val="28"/>
          <w:szCs w:val="28"/>
          <w:lang w:val="pt-BR" w:eastAsia="zh-CN"/>
        </w:rPr>
        <w:t xml:space="preserve"> </w:t>
      </w:r>
      <w:r w:rsidRPr="00C61221">
        <w:rPr>
          <w:sz w:val="28"/>
          <w:szCs w:val="28"/>
          <w:lang w:val="vi-VN" w:eastAsia="zh-CN"/>
        </w:rPr>
        <w:t>Đ</w:t>
      </w:r>
      <w:r w:rsidRPr="00C61221">
        <w:rPr>
          <w:sz w:val="28"/>
          <w:szCs w:val="28"/>
          <w:lang w:val="en-GB" w:eastAsia="zh-CN"/>
        </w:rPr>
        <w:t xml:space="preserve">ề tài </w:t>
      </w:r>
      <w:r w:rsidRPr="00C61221">
        <w:rPr>
          <w:i/>
          <w:sz w:val="28"/>
          <w:szCs w:val="28"/>
          <w:lang w:val="en-GB" w:eastAsia="zh-CN"/>
        </w:rPr>
        <w:t>“Nghiên cứu thay thế chất trợ lắng trong sản xuất bột gạo lọc truyền thống tại tỉnh Đồng Tháp”</w:t>
      </w:r>
      <w:r w:rsidRPr="00C61221">
        <w:rPr>
          <w:sz w:val="28"/>
          <w:szCs w:val="28"/>
          <w:lang w:val="en-GB" w:eastAsia="zh-CN"/>
        </w:rPr>
        <w:t>có ý nghĩa thực tiễn quan trọng trong việc thay đổi tập quán của người dân làm nghề, góp phần quan trọng trong việc định hướng mới về nghề sản xuất bột tại tỉnh với quy mô công nghiệp, đáp ứng nhu cầu xuất khẩu.</w:t>
      </w:r>
    </w:p>
    <w:p w:rsidR="004517D4" w:rsidRPr="00C61221" w:rsidRDefault="004517D4" w:rsidP="00C61221">
      <w:pPr>
        <w:shd w:val="clear" w:color="auto" w:fill="FFFFFF"/>
        <w:spacing w:before="60" w:after="60"/>
        <w:ind w:firstLine="567"/>
        <w:jc w:val="both"/>
        <w:rPr>
          <w:rFonts w:eastAsia="Calibri"/>
          <w:bCs/>
          <w:sz w:val="28"/>
          <w:szCs w:val="28"/>
          <w:lang w:val="vi-VN"/>
        </w:rPr>
      </w:pPr>
      <w:r w:rsidRPr="00C61221">
        <w:rPr>
          <w:rFonts w:eastAsia="Calibri"/>
          <w:sz w:val="28"/>
          <w:szCs w:val="28"/>
          <w:lang w:val="vi-VN"/>
        </w:rPr>
        <w:t>-</w:t>
      </w:r>
      <w:r w:rsidRPr="00C61221">
        <w:rPr>
          <w:rFonts w:eastAsia="Calibri"/>
          <w:sz w:val="28"/>
          <w:szCs w:val="28"/>
        </w:rPr>
        <w:t xml:space="preserve"> Đã hỗ trợ </w:t>
      </w:r>
      <w:r w:rsidRPr="00C61221">
        <w:rPr>
          <w:sz w:val="28"/>
          <w:szCs w:val="28"/>
          <w:shd w:val="clear" w:color="auto" w:fill="FFFFFF"/>
          <w:lang w:eastAsia="zh-CN"/>
        </w:rPr>
        <w:t>01 trang trại áp dụng tiêu chuẩn VietGAP trong sản xuất lúa, với tổng kinh phí là 60 triệu đồng. Hiện nay, t</w:t>
      </w:r>
      <w:r w:rsidRPr="00C61221">
        <w:rPr>
          <w:rFonts w:eastAsia="Calibri"/>
          <w:sz w:val="28"/>
          <w:szCs w:val="28"/>
          <w:lang w:val="vi-VN"/>
        </w:rPr>
        <w:t xml:space="preserve">oàn Tỉnh </w:t>
      </w:r>
      <w:r w:rsidRPr="00C61221">
        <w:rPr>
          <w:rFonts w:eastAsia="Calibri"/>
          <w:sz w:val="28"/>
          <w:szCs w:val="28"/>
          <w:lang w:val="zu-ZA"/>
        </w:rPr>
        <w:t>có 8 HTX</w:t>
      </w:r>
      <w:r w:rsidRPr="00C61221">
        <w:rPr>
          <w:sz w:val="28"/>
          <w:szCs w:val="28"/>
          <w:shd w:val="clear" w:color="auto" w:fill="FFFFFF"/>
          <w:lang w:eastAsia="zh-CN"/>
        </w:rPr>
        <w:t xml:space="preserve">, hiệp hội đăng ký bảo hộ nhãn hiệu </w:t>
      </w:r>
      <w:r w:rsidRPr="00C61221">
        <w:rPr>
          <w:rFonts w:eastAsia="Calibri"/>
          <w:sz w:val="28"/>
          <w:szCs w:val="28"/>
          <w:lang w:val="vi-VN"/>
        </w:rPr>
        <w:t xml:space="preserve">đã góp phần nâng cao giá trị sản phẩm đặc thù của địa phương, được </w:t>
      </w:r>
      <w:r w:rsidRPr="00C61221">
        <w:rPr>
          <w:rFonts w:eastAsia="Calibri"/>
          <w:bCs/>
          <w:sz w:val="28"/>
          <w:szCs w:val="28"/>
          <w:lang w:val="vi-VN"/>
        </w:rPr>
        <w:t xml:space="preserve">người tiêu dùng trong và ngoài Tỉnh đánh giá cao. </w:t>
      </w:r>
    </w:p>
    <w:p w:rsidR="004517D4" w:rsidRPr="00C61221" w:rsidRDefault="004517D4" w:rsidP="00C61221">
      <w:pPr>
        <w:spacing w:before="60" w:after="60"/>
        <w:ind w:firstLine="567"/>
        <w:jc w:val="both"/>
        <w:rPr>
          <w:rFonts w:eastAsia="Calibri"/>
          <w:bCs/>
          <w:i/>
          <w:sz w:val="28"/>
          <w:szCs w:val="28"/>
          <w:lang w:val="zu-ZA"/>
        </w:rPr>
      </w:pPr>
      <w:r w:rsidRPr="00C61221">
        <w:rPr>
          <w:i/>
          <w:sz w:val="28"/>
          <w:szCs w:val="28"/>
          <w:lang w:eastAsia="zh-CN"/>
        </w:rPr>
        <w:t>đ) Chính sách hỗ trợ</w:t>
      </w:r>
      <w:r w:rsidR="000E0E7C">
        <w:rPr>
          <w:i/>
          <w:sz w:val="28"/>
          <w:szCs w:val="28"/>
          <w:lang w:eastAsia="zh-CN"/>
        </w:rPr>
        <w:t xml:space="preserve"> tiếp thị và mở rộng thị trường</w:t>
      </w:r>
    </w:p>
    <w:p w:rsidR="004517D4" w:rsidRPr="00C61221" w:rsidRDefault="004517D4" w:rsidP="00C61221">
      <w:pPr>
        <w:spacing w:before="60" w:after="60"/>
        <w:ind w:firstLine="567"/>
        <w:jc w:val="both"/>
        <w:rPr>
          <w:bCs/>
          <w:i/>
          <w:iCs/>
          <w:sz w:val="28"/>
          <w:szCs w:val="28"/>
          <w:lang w:val="pt-BR" w:eastAsia="zh-CN"/>
        </w:rPr>
      </w:pPr>
      <w:r w:rsidRPr="00C61221">
        <w:rPr>
          <w:rFonts w:eastAsia="Calibri"/>
          <w:bCs/>
          <w:sz w:val="28"/>
          <w:szCs w:val="28"/>
          <w:lang w:val="nl-NL"/>
        </w:rPr>
        <w:t>- Hàng năm, Tỉnh hỗ trợ kinh phí</w:t>
      </w:r>
      <w:r w:rsidR="000E0E7C">
        <w:rPr>
          <w:rFonts w:eastAsia="Calibri"/>
          <w:bCs/>
          <w:sz w:val="28"/>
          <w:szCs w:val="28"/>
          <w:lang w:val="nl-NL"/>
        </w:rPr>
        <w:t xml:space="preserve"> </w:t>
      </w:r>
      <w:r w:rsidRPr="00C61221">
        <w:rPr>
          <w:rFonts w:eastAsia="Calibri"/>
          <w:bCs/>
          <w:sz w:val="28"/>
          <w:szCs w:val="28"/>
          <w:lang w:val="nl-NL"/>
        </w:rPr>
        <w:t>cho HTX, lãnh đạo HTX</w:t>
      </w:r>
      <w:r w:rsidRPr="00C61221">
        <w:rPr>
          <w:sz w:val="28"/>
          <w:szCs w:val="28"/>
          <w:lang w:val="zu-ZA" w:eastAsia="zh-CN"/>
        </w:rPr>
        <w:t xml:space="preserve"> tham gia cùng đoàn  công tác của lãnh đạo Tỉnh đi học </w:t>
      </w:r>
      <w:r w:rsidRPr="00C61221">
        <w:rPr>
          <w:sz w:val="28"/>
          <w:szCs w:val="28"/>
          <w:lang w:val="nl-NL" w:eastAsia="zh-CN"/>
        </w:rPr>
        <w:t xml:space="preserve">đi học tập, nghiên cứu, tiếp cận kinh nghiệm sản xuất - kinh doanh, thị trường trong và ngoài nước; tham gia các kỳ hội chợ triển lãm do Tỉnh, Liên minh </w:t>
      </w:r>
      <w:r w:rsidR="000E0E7C">
        <w:rPr>
          <w:sz w:val="28"/>
          <w:szCs w:val="28"/>
          <w:lang w:val="nl-NL" w:eastAsia="zh-CN"/>
        </w:rPr>
        <w:t>HTX</w:t>
      </w:r>
      <w:r w:rsidRPr="00C61221">
        <w:rPr>
          <w:sz w:val="28"/>
          <w:szCs w:val="28"/>
          <w:lang w:val="nl-NL" w:eastAsia="zh-CN"/>
        </w:rPr>
        <w:t xml:space="preserve"> Việt Nam, </w:t>
      </w:r>
      <w:r w:rsidRPr="00C61221">
        <w:rPr>
          <w:sz w:val="28"/>
          <w:szCs w:val="28"/>
          <w:lang w:val="zu-ZA" w:eastAsia="zh-CN"/>
        </w:rPr>
        <w:t>BCĐ Tây Nam Bộ</w:t>
      </w:r>
      <w:r w:rsidRPr="00C61221">
        <w:rPr>
          <w:sz w:val="28"/>
          <w:szCs w:val="28"/>
          <w:lang w:val="nl-NL" w:eastAsia="zh-CN"/>
        </w:rPr>
        <w:t xml:space="preserve"> và khu vực tổ chức</w:t>
      </w:r>
      <w:r w:rsidRPr="000E0E7C">
        <w:rPr>
          <w:sz w:val="28"/>
          <w:szCs w:val="28"/>
          <w:vertAlign w:val="superscript"/>
          <w:lang w:val="nl-NL" w:eastAsia="zh-CN"/>
        </w:rPr>
        <w:t>(</w:t>
      </w:r>
      <w:r w:rsidRPr="00C61221">
        <w:rPr>
          <w:rFonts w:eastAsia="Calibri"/>
          <w:bCs/>
          <w:sz w:val="28"/>
          <w:szCs w:val="28"/>
          <w:vertAlign w:val="superscript"/>
        </w:rPr>
        <w:footnoteReference w:id="16"/>
      </w:r>
      <w:r w:rsidRPr="00C61221">
        <w:rPr>
          <w:rFonts w:eastAsia="Calibri"/>
          <w:bCs/>
          <w:sz w:val="28"/>
          <w:szCs w:val="28"/>
          <w:vertAlign w:val="superscript"/>
        </w:rPr>
        <w:t>)</w:t>
      </w:r>
      <w:r w:rsidR="000E0E7C">
        <w:rPr>
          <w:rFonts w:eastAsia="Calibri"/>
          <w:bCs/>
          <w:sz w:val="28"/>
          <w:szCs w:val="28"/>
        </w:rPr>
        <w:t>.</w:t>
      </w:r>
      <w:r w:rsidRPr="00C61221">
        <w:rPr>
          <w:iCs/>
          <w:sz w:val="28"/>
          <w:szCs w:val="28"/>
          <w:vertAlign w:val="superscript"/>
          <w:lang w:val="pt-BR" w:eastAsia="zh-CN"/>
        </w:rPr>
        <w:t xml:space="preserve"> </w:t>
      </w:r>
      <w:r w:rsidRPr="00C61221">
        <w:rPr>
          <w:iCs/>
          <w:sz w:val="28"/>
          <w:szCs w:val="28"/>
          <w:lang w:val="pt-BR" w:eastAsia="zh-CN"/>
        </w:rPr>
        <w:t xml:space="preserve">Qua đó các HTX có dịp giới thiệu, quảng bá và ký kết hợp tác tiêu thụ sản phẩm... </w:t>
      </w:r>
      <w:r w:rsidRPr="00C61221">
        <w:rPr>
          <w:sz w:val="28"/>
          <w:szCs w:val="28"/>
          <w:lang w:val="zu-ZA" w:eastAsia="zh-CN"/>
        </w:rPr>
        <w:t>..</w:t>
      </w:r>
    </w:p>
    <w:p w:rsidR="004517D4" w:rsidRPr="00C61221" w:rsidRDefault="004517D4" w:rsidP="00C61221">
      <w:pPr>
        <w:spacing w:before="60" w:after="60"/>
        <w:ind w:firstLine="567"/>
        <w:jc w:val="both"/>
        <w:rPr>
          <w:bCs/>
          <w:i/>
          <w:iCs/>
          <w:sz w:val="28"/>
          <w:szCs w:val="28"/>
          <w:lang w:val="pt-BR" w:eastAsia="zh-CN"/>
        </w:rPr>
      </w:pPr>
      <w:r w:rsidRPr="00C61221">
        <w:rPr>
          <w:sz w:val="28"/>
          <w:szCs w:val="28"/>
          <w:lang w:val="nl-NL" w:eastAsia="zh-CN"/>
        </w:rPr>
        <w:t>- T</w:t>
      </w:r>
      <w:r w:rsidRPr="00C61221">
        <w:rPr>
          <w:sz w:val="28"/>
          <w:szCs w:val="28"/>
          <w:lang w:eastAsia="zh-CN"/>
        </w:rPr>
        <w:t xml:space="preserve">ừ nguồn kinh phí Đề án TCCNN: </w:t>
      </w:r>
      <w:r w:rsidR="000E0E7C">
        <w:rPr>
          <w:sz w:val="28"/>
          <w:szCs w:val="28"/>
          <w:lang w:eastAsia="zh-CN"/>
        </w:rPr>
        <w:t>h</w:t>
      </w:r>
      <w:r w:rsidRPr="00C61221">
        <w:rPr>
          <w:sz w:val="28"/>
          <w:szCs w:val="28"/>
          <w:lang w:eastAsia="zh-CN"/>
        </w:rPr>
        <w:t xml:space="preserve">àng năm Tỉnh tổ chức từ 2 đến 3 đoàn cho các doanh nghiệp, cơ sở sản xuất, HTX, THT đi học tập, nghiên cứu, tiếp cận kinh nghiệm sản xuất, kinh doanh, tìm hiểu thị trường, tham gia các hội chợ triển lãm…; chủ động làm cầu nối giữa các hệ thống siêu thị, chợ đầu mối, các doanh nghiệp có hệ thống phân phối lớn trong cả nước với các HTX, THT liên kết sản xuất gắn với tiêu thụ hàng nông sản của </w:t>
      </w:r>
      <w:r w:rsidR="00270329">
        <w:rPr>
          <w:sz w:val="28"/>
          <w:szCs w:val="28"/>
          <w:lang w:eastAsia="zh-CN"/>
        </w:rPr>
        <w:t>T</w:t>
      </w:r>
      <w:r w:rsidRPr="00C61221">
        <w:rPr>
          <w:sz w:val="28"/>
          <w:szCs w:val="28"/>
          <w:lang w:eastAsia="zh-CN"/>
        </w:rPr>
        <w:t>ỉnh</w:t>
      </w:r>
      <w:r w:rsidR="00270329">
        <w:rPr>
          <w:sz w:val="28"/>
          <w:szCs w:val="28"/>
          <w:lang w:eastAsia="zh-CN"/>
        </w:rPr>
        <w:t>.</w:t>
      </w:r>
    </w:p>
    <w:p w:rsidR="004517D4" w:rsidRPr="00C61221" w:rsidRDefault="004517D4" w:rsidP="00C61221">
      <w:pPr>
        <w:spacing w:before="60" w:after="60"/>
        <w:ind w:firstLine="709"/>
        <w:jc w:val="both"/>
        <w:rPr>
          <w:sz w:val="28"/>
          <w:szCs w:val="28"/>
          <w:lang w:eastAsia="zh-CN"/>
        </w:rPr>
      </w:pPr>
      <w:r w:rsidRPr="00C61221">
        <w:rPr>
          <w:sz w:val="28"/>
          <w:szCs w:val="28"/>
          <w:lang w:val="zu-ZA" w:eastAsia="zh-CN" w:bidi="en-US"/>
        </w:rPr>
        <w:t xml:space="preserve">- Thực hiện chính sách hỗ trợ quảng bá nhãn hiệu, sản phẩm; xây dựng các điểm giới thiệu trưng bày sản phẩm, bán hàng và kho trung chuyển hàng hóa </w:t>
      </w:r>
      <w:r w:rsidRPr="00C61221">
        <w:rPr>
          <w:sz w:val="28"/>
          <w:szCs w:val="28"/>
          <w:lang w:val="zu-ZA" w:eastAsia="zh-CN" w:bidi="en-US"/>
        </w:rPr>
        <w:lastRenderedPageBreak/>
        <w:t>ở ngoài tỉnh, điểm bán hàng nông sản thực phẩm an toàn trong tỉnh</w:t>
      </w:r>
      <w:r w:rsidRPr="00C61221">
        <w:rPr>
          <w:sz w:val="28"/>
          <w:szCs w:val="28"/>
          <w:vertAlign w:val="superscript"/>
          <w:lang w:val="zu-ZA" w:eastAsia="zh-CN" w:bidi="en-US"/>
        </w:rPr>
        <w:t>(</w:t>
      </w:r>
      <w:r w:rsidRPr="00C61221">
        <w:rPr>
          <w:sz w:val="28"/>
          <w:szCs w:val="28"/>
          <w:vertAlign w:val="superscript"/>
          <w:lang w:val="zu-ZA" w:eastAsia="zh-CN" w:bidi="en-US"/>
        </w:rPr>
        <w:footnoteReference w:id="17"/>
      </w:r>
      <w:r w:rsidRPr="00C61221">
        <w:rPr>
          <w:sz w:val="28"/>
          <w:szCs w:val="28"/>
          <w:vertAlign w:val="superscript"/>
          <w:lang w:val="zu-ZA" w:eastAsia="zh-CN" w:bidi="en-US"/>
        </w:rPr>
        <w:t>)</w:t>
      </w:r>
      <w:r w:rsidRPr="00C61221">
        <w:rPr>
          <w:sz w:val="28"/>
          <w:szCs w:val="28"/>
          <w:lang w:val="zu-ZA" w:eastAsia="zh-CN" w:bidi="en-US"/>
        </w:rPr>
        <w:t>, giai đoạn 2016</w:t>
      </w:r>
      <w:r w:rsidR="00270329">
        <w:rPr>
          <w:sz w:val="28"/>
          <w:szCs w:val="28"/>
          <w:lang w:val="zu-ZA" w:eastAsia="zh-CN" w:bidi="en-US"/>
        </w:rPr>
        <w:t xml:space="preserve"> </w:t>
      </w:r>
      <w:r w:rsidRPr="00C61221">
        <w:rPr>
          <w:sz w:val="28"/>
          <w:szCs w:val="28"/>
          <w:lang w:val="zu-ZA" w:eastAsia="zh-CN" w:bidi="en-US"/>
        </w:rPr>
        <w:t>-</w:t>
      </w:r>
      <w:r w:rsidR="00270329">
        <w:rPr>
          <w:sz w:val="28"/>
          <w:szCs w:val="28"/>
          <w:lang w:val="zu-ZA" w:eastAsia="zh-CN" w:bidi="en-US"/>
        </w:rPr>
        <w:t xml:space="preserve"> </w:t>
      </w:r>
      <w:r w:rsidRPr="00C61221">
        <w:rPr>
          <w:sz w:val="28"/>
          <w:szCs w:val="28"/>
          <w:lang w:val="zu-ZA" w:eastAsia="zh-CN" w:bidi="en-US"/>
        </w:rPr>
        <w:t>2020 đã hỗ trợ 20 HTX, 01 THT</w:t>
      </w:r>
      <w:r w:rsidRPr="00C61221">
        <w:rPr>
          <w:sz w:val="28"/>
          <w:szCs w:val="28"/>
          <w:lang w:eastAsia="zh-CN"/>
        </w:rPr>
        <w:t xml:space="preserve"> xây dựng điểm giới thiệu, trưng bày quảng bá sản phẩm trong và ngoài </w:t>
      </w:r>
      <w:r w:rsidR="00270329">
        <w:rPr>
          <w:sz w:val="28"/>
          <w:szCs w:val="28"/>
          <w:lang w:eastAsia="zh-CN"/>
        </w:rPr>
        <w:t>T</w:t>
      </w:r>
      <w:r w:rsidRPr="00C61221">
        <w:rPr>
          <w:sz w:val="28"/>
          <w:szCs w:val="28"/>
          <w:lang w:eastAsia="zh-CN"/>
        </w:rPr>
        <w:t>ỉnh với tổng số tiền là 356, 950 triệu đồng</w:t>
      </w:r>
      <w:r w:rsidR="00270329">
        <w:rPr>
          <w:sz w:val="28"/>
          <w:szCs w:val="28"/>
          <w:lang w:eastAsia="zh-CN"/>
        </w:rPr>
        <w:t>.</w:t>
      </w:r>
    </w:p>
    <w:p w:rsidR="004517D4" w:rsidRPr="00C61221" w:rsidRDefault="004517D4" w:rsidP="00C61221">
      <w:pPr>
        <w:spacing w:before="60" w:after="60"/>
        <w:jc w:val="both"/>
        <w:rPr>
          <w:i/>
          <w:sz w:val="28"/>
          <w:szCs w:val="28"/>
          <w:lang w:val="zu-ZA" w:eastAsia="zh-CN" w:bidi="en-US"/>
        </w:rPr>
      </w:pPr>
      <w:r w:rsidRPr="00C61221">
        <w:rPr>
          <w:b/>
          <w:sz w:val="28"/>
          <w:szCs w:val="28"/>
          <w:lang w:eastAsia="zh-CN"/>
        </w:rPr>
        <w:tab/>
      </w:r>
      <w:r w:rsidRPr="00C61221">
        <w:rPr>
          <w:i/>
          <w:sz w:val="28"/>
          <w:szCs w:val="28"/>
          <w:lang w:eastAsia="zh-CN"/>
        </w:rPr>
        <w:t xml:space="preserve">e) Chính sách </w:t>
      </w:r>
      <w:r w:rsidR="00270329">
        <w:rPr>
          <w:i/>
          <w:sz w:val="28"/>
          <w:szCs w:val="28"/>
          <w:lang w:eastAsia="zh-CN"/>
        </w:rPr>
        <w:t>đầu tư phát triển cơ sở hạ tầng</w:t>
      </w:r>
    </w:p>
    <w:p w:rsidR="004517D4" w:rsidRPr="00C61221" w:rsidRDefault="004517D4" w:rsidP="00C61221">
      <w:pPr>
        <w:spacing w:before="60" w:after="60"/>
        <w:ind w:right="49" w:firstLine="709"/>
        <w:jc w:val="both"/>
        <w:rPr>
          <w:spacing w:val="-2"/>
          <w:sz w:val="28"/>
          <w:szCs w:val="28"/>
          <w:lang w:val="vi-VN" w:eastAsia="zh-CN"/>
        </w:rPr>
      </w:pPr>
      <w:r w:rsidRPr="00C61221">
        <w:rPr>
          <w:spacing w:val="2"/>
          <w:sz w:val="28"/>
          <w:szCs w:val="28"/>
          <w:lang w:eastAsia="zh-CN"/>
        </w:rPr>
        <w:t xml:space="preserve">- Thực hiện Nghị định 35/2015/NĐ-CP ngày 13/4/2015 của Chính phủ về việc quản lý sử dụng đất trồng lúa: Tỉnh tiến hành hỗ trợ xây dựng cơ sở hạ tầng phục vụ vùng sản xuất quy mô lớn cho 08/9 HTX tham gia thí điểm HTX kiểu </w:t>
      </w:r>
      <w:r w:rsidRPr="00C61221">
        <w:rPr>
          <w:spacing w:val="-2"/>
          <w:sz w:val="28"/>
          <w:szCs w:val="28"/>
          <w:lang w:eastAsia="zh-CN"/>
        </w:rPr>
        <w:t>mới theo Quyết định 445/QĐ-TTg với các danh mục như: kiên cố hóa kênh mương, công trình điều tiết, nạo vét nội đồng, cống,… với tổng kinh phí trên 94 tỷ đồng.</w:t>
      </w:r>
    </w:p>
    <w:p w:rsidR="004517D4" w:rsidRPr="00C61221" w:rsidRDefault="004517D4" w:rsidP="00C61221">
      <w:pPr>
        <w:spacing w:before="60" w:after="60"/>
        <w:ind w:right="49" w:firstLine="709"/>
        <w:jc w:val="both"/>
        <w:rPr>
          <w:spacing w:val="2"/>
          <w:sz w:val="28"/>
          <w:szCs w:val="28"/>
          <w:lang w:eastAsia="zh-CN"/>
        </w:rPr>
      </w:pPr>
      <w:r w:rsidRPr="00C61221">
        <w:rPr>
          <w:sz w:val="28"/>
          <w:szCs w:val="28"/>
          <w:lang w:val="sv-SE" w:eastAsia="zh-CN"/>
        </w:rPr>
        <w:t xml:space="preserve">- Thực hiện Quyết định số 2261/QĐ-TTg ngày </w:t>
      </w:r>
      <w:r w:rsidRPr="00C61221">
        <w:rPr>
          <w:sz w:val="28"/>
          <w:szCs w:val="28"/>
          <w:lang w:val="af-ZA" w:eastAsia="zh-CN"/>
        </w:rPr>
        <w:t>15/12/2014 của Thủ tướng Chính phủ phê duyệt Chương trình hỗ trợ phát triển HTX giai đoạn 2015</w:t>
      </w:r>
      <w:r w:rsidR="00270329">
        <w:rPr>
          <w:sz w:val="28"/>
          <w:szCs w:val="28"/>
          <w:lang w:val="af-ZA" w:eastAsia="zh-CN"/>
        </w:rPr>
        <w:t xml:space="preserve"> </w:t>
      </w:r>
      <w:r w:rsidRPr="00C61221">
        <w:rPr>
          <w:sz w:val="28"/>
          <w:szCs w:val="28"/>
          <w:lang w:val="af-ZA" w:eastAsia="zh-CN"/>
        </w:rPr>
        <w:t>-</w:t>
      </w:r>
      <w:r w:rsidR="00270329">
        <w:rPr>
          <w:sz w:val="28"/>
          <w:szCs w:val="28"/>
          <w:lang w:val="af-ZA" w:eastAsia="zh-CN"/>
        </w:rPr>
        <w:t xml:space="preserve"> </w:t>
      </w:r>
      <w:r w:rsidRPr="00C61221">
        <w:rPr>
          <w:sz w:val="28"/>
          <w:szCs w:val="28"/>
          <w:lang w:val="af-ZA" w:eastAsia="zh-CN"/>
        </w:rPr>
        <w:t>2020:</w:t>
      </w:r>
      <w:r w:rsidRPr="00C61221">
        <w:rPr>
          <w:spacing w:val="2"/>
          <w:sz w:val="28"/>
          <w:szCs w:val="28"/>
          <w:lang w:val="af-ZA" w:eastAsia="zh-CN"/>
        </w:rPr>
        <w:t xml:space="preserve">  Tỉnh hỗ trợ 32 HTX xây dựng </w:t>
      </w:r>
      <w:r w:rsidRPr="00C61221">
        <w:rPr>
          <w:spacing w:val="2"/>
          <w:sz w:val="28"/>
          <w:szCs w:val="28"/>
          <w:lang w:val="vi-VN" w:eastAsia="zh-CN"/>
        </w:rPr>
        <w:t>(công trình th</w:t>
      </w:r>
      <w:r w:rsidR="00015662">
        <w:rPr>
          <w:spacing w:val="2"/>
          <w:sz w:val="28"/>
          <w:szCs w:val="28"/>
          <w:lang w:val="vi-VN" w:eastAsia="zh-CN"/>
        </w:rPr>
        <w:t>uỷ</w:t>
      </w:r>
      <w:r w:rsidRPr="00C61221">
        <w:rPr>
          <w:spacing w:val="2"/>
          <w:sz w:val="28"/>
          <w:szCs w:val="28"/>
          <w:lang w:val="vi-VN" w:eastAsia="zh-CN"/>
        </w:rPr>
        <w:t xml:space="preserve"> lợi, </w:t>
      </w:r>
      <w:r w:rsidR="00270329">
        <w:rPr>
          <w:spacing w:val="2"/>
          <w:sz w:val="28"/>
          <w:szCs w:val="28"/>
          <w:lang w:eastAsia="zh-CN"/>
        </w:rPr>
        <w:t>giao thông nội đồng</w:t>
      </w:r>
      <w:r w:rsidRPr="00C61221">
        <w:rPr>
          <w:spacing w:val="2"/>
          <w:sz w:val="28"/>
          <w:szCs w:val="28"/>
          <w:lang w:val="vi-VN" w:eastAsia="zh-CN"/>
        </w:rPr>
        <w:t>, đường giao thông trục chính vào khu sản xuất</w:t>
      </w:r>
      <w:r w:rsidRPr="00C61221">
        <w:rPr>
          <w:spacing w:val="2"/>
          <w:sz w:val="28"/>
          <w:szCs w:val="28"/>
          <w:lang w:eastAsia="zh-CN"/>
        </w:rPr>
        <w:t>,…</w:t>
      </w:r>
      <w:r w:rsidRPr="00C61221">
        <w:rPr>
          <w:spacing w:val="2"/>
          <w:sz w:val="28"/>
          <w:szCs w:val="28"/>
          <w:lang w:val="vi-VN" w:eastAsia="zh-CN"/>
        </w:rPr>
        <w:t xml:space="preserve">) </w:t>
      </w:r>
      <w:r w:rsidRPr="00C61221">
        <w:rPr>
          <w:spacing w:val="2"/>
          <w:sz w:val="28"/>
          <w:szCs w:val="28"/>
          <w:lang w:val="pt-BR" w:eastAsia="zh-CN"/>
        </w:rPr>
        <w:t>từ nguồn vốn mục tiêu quốc gia xây dựng nông thôn mới với t</w:t>
      </w:r>
      <w:r w:rsidRPr="00C61221">
        <w:rPr>
          <w:spacing w:val="2"/>
          <w:sz w:val="28"/>
          <w:szCs w:val="28"/>
          <w:lang w:val="vi-VN" w:eastAsia="zh-CN"/>
        </w:rPr>
        <w:t>ổng mức đầu tư là</w:t>
      </w:r>
      <w:r w:rsidRPr="00C61221">
        <w:rPr>
          <w:spacing w:val="2"/>
          <w:sz w:val="28"/>
          <w:szCs w:val="28"/>
          <w:lang w:eastAsia="zh-CN"/>
        </w:rPr>
        <w:t xml:space="preserve"> 26.305 triệu đồng, trong đó trung ương hỗ trợ 20.000 triệu đồng, kinh phí còn lại do HTX đối ứng </w:t>
      </w:r>
      <w:r w:rsidRPr="00C61221">
        <w:rPr>
          <w:spacing w:val="2"/>
          <w:sz w:val="28"/>
          <w:szCs w:val="28"/>
          <w:lang w:val="vi-VN" w:eastAsia="zh-CN"/>
        </w:rPr>
        <w:t>(cơ chế hỗ trợ là Trung ương sẽ hỗ trợ 80% và HTX đóng góp 20% tổng mức đầu tư của dự án)</w:t>
      </w:r>
      <w:r w:rsidRPr="00C61221">
        <w:rPr>
          <w:spacing w:val="2"/>
          <w:sz w:val="28"/>
          <w:szCs w:val="28"/>
          <w:lang w:val="pt-BR" w:eastAsia="zh-CN"/>
        </w:rPr>
        <w:t>.</w:t>
      </w:r>
    </w:p>
    <w:p w:rsidR="004517D4" w:rsidRPr="00C61221" w:rsidRDefault="00270329" w:rsidP="00C61221">
      <w:pPr>
        <w:spacing w:before="60" w:after="60"/>
        <w:ind w:firstLine="720"/>
        <w:contextualSpacing/>
        <w:jc w:val="both"/>
        <w:rPr>
          <w:bCs/>
          <w:i/>
          <w:sz w:val="28"/>
          <w:szCs w:val="28"/>
          <w:lang w:eastAsia="zh-CN"/>
        </w:rPr>
      </w:pPr>
      <w:r>
        <w:rPr>
          <w:i/>
          <w:sz w:val="28"/>
          <w:szCs w:val="28"/>
          <w:lang w:eastAsia="zh-CN"/>
        </w:rPr>
        <w:t>g) Chính sách khác</w:t>
      </w:r>
    </w:p>
    <w:p w:rsidR="004517D4" w:rsidRPr="00C61221" w:rsidRDefault="00270329" w:rsidP="00C61221">
      <w:pPr>
        <w:spacing w:before="60" w:after="60"/>
        <w:ind w:firstLine="720"/>
        <w:contextualSpacing/>
        <w:jc w:val="both"/>
        <w:rPr>
          <w:b/>
          <w:bCs/>
          <w:sz w:val="28"/>
          <w:szCs w:val="28"/>
          <w:lang w:eastAsia="zh-CN"/>
        </w:rPr>
      </w:pPr>
      <w:r>
        <w:rPr>
          <w:b/>
          <w:bCs/>
          <w:sz w:val="28"/>
          <w:szCs w:val="28"/>
          <w:lang w:eastAsia="zh-CN"/>
        </w:rPr>
        <w:t>*</w:t>
      </w:r>
      <w:r w:rsidR="004517D4" w:rsidRPr="00C61221">
        <w:rPr>
          <w:b/>
          <w:bCs/>
          <w:sz w:val="28"/>
          <w:szCs w:val="28"/>
          <w:lang w:eastAsia="zh-CN"/>
        </w:rPr>
        <w:t xml:space="preserve"> </w:t>
      </w:r>
      <w:r w:rsidR="004517D4" w:rsidRPr="00C61221">
        <w:rPr>
          <w:i/>
          <w:sz w:val="28"/>
          <w:szCs w:val="28"/>
          <w:lang w:eastAsia="zh-CN"/>
        </w:rPr>
        <w:t xml:space="preserve">Về </w:t>
      </w:r>
      <w:r w:rsidR="004517D4" w:rsidRPr="00C61221">
        <w:rPr>
          <w:i/>
          <w:sz w:val="28"/>
          <w:szCs w:val="28"/>
          <w:lang w:val="vi-VN" w:eastAsia="zh-CN"/>
        </w:rPr>
        <w:t>thành lập mới</w:t>
      </w:r>
    </w:p>
    <w:p w:rsidR="004517D4" w:rsidRPr="00270329" w:rsidRDefault="004517D4" w:rsidP="00C61221">
      <w:pPr>
        <w:spacing w:before="60" w:after="60"/>
        <w:ind w:firstLine="720"/>
        <w:contextualSpacing/>
        <w:jc w:val="both"/>
        <w:rPr>
          <w:b/>
          <w:bCs/>
          <w:sz w:val="28"/>
          <w:szCs w:val="28"/>
          <w:lang w:eastAsia="zh-CN"/>
        </w:rPr>
      </w:pPr>
      <w:r w:rsidRPr="00C61221">
        <w:rPr>
          <w:sz w:val="28"/>
          <w:szCs w:val="28"/>
          <w:lang w:val="vi-VN" w:eastAsia="zh-CN"/>
        </w:rPr>
        <w:t>HTX khi thành lập mới được hỗ trợ</w:t>
      </w:r>
      <w:r w:rsidR="00270329">
        <w:rPr>
          <w:sz w:val="28"/>
          <w:szCs w:val="28"/>
          <w:lang w:eastAsia="zh-CN"/>
        </w:rPr>
        <w:t xml:space="preserve"> </w:t>
      </w:r>
      <w:r w:rsidRPr="00C61221">
        <w:rPr>
          <w:sz w:val="28"/>
          <w:szCs w:val="28"/>
          <w:lang w:val="vi-VN" w:eastAsia="zh-CN"/>
        </w:rPr>
        <w:t xml:space="preserve">kinh phí thành lập </w:t>
      </w:r>
      <w:r w:rsidRPr="00C61221">
        <w:rPr>
          <w:sz w:val="28"/>
          <w:szCs w:val="28"/>
          <w:lang w:val="sv-SE" w:eastAsia="zh-CN"/>
        </w:rPr>
        <w:t>(hội nghị thành lập và phí đăng ký kinh doanh) với mức khoán là 10 triệu đồng/HTX.</w:t>
      </w:r>
      <w:r w:rsidRPr="00C61221">
        <w:rPr>
          <w:sz w:val="28"/>
          <w:szCs w:val="28"/>
          <w:lang w:val="pt-BR" w:eastAsia="zh-CN"/>
        </w:rPr>
        <w:t xml:space="preserve"> Từ năm 2011 đến năm 2020 đã hỗ trợ thành lập mới 153 HTX với tổng số tiền là 1.530 triệu đồng</w:t>
      </w:r>
      <w:r w:rsidRPr="00C61221">
        <w:rPr>
          <w:i/>
          <w:sz w:val="28"/>
          <w:szCs w:val="28"/>
          <w:lang w:val="pt-BR" w:eastAsia="zh-CN"/>
        </w:rPr>
        <w:t>.</w:t>
      </w:r>
      <w:r w:rsidRPr="00C61221">
        <w:rPr>
          <w:sz w:val="28"/>
          <w:szCs w:val="28"/>
          <w:lang w:val="pt-BR" w:eastAsia="zh-CN"/>
        </w:rPr>
        <w:t xml:space="preserve"> Ngoài ra, cấp huyện cũng hỗ trợ thêm kinh phí khi HTX thành lập mới hoặc củng cố</w:t>
      </w:r>
      <w:r w:rsidRPr="00C61221">
        <w:rPr>
          <w:sz w:val="28"/>
          <w:szCs w:val="28"/>
          <w:vertAlign w:val="superscript"/>
          <w:lang w:val="pt-BR" w:eastAsia="zh-CN"/>
        </w:rPr>
        <w:t>(</w:t>
      </w:r>
      <w:r w:rsidRPr="00C61221">
        <w:rPr>
          <w:sz w:val="28"/>
          <w:szCs w:val="28"/>
          <w:vertAlign w:val="superscript"/>
          <w:lang w:val="pt-BR" w:eastAsia="zh-CN"/>
        </w:rPr>
        <w:footnoteReference w:id="18"/>
      </w:r>
      <w:r w:rsidR="00270329">
        <w:rPr>
          <w:sz w:val="28"/>
          <w:szCs w:val="28"/>
          <w:vertAlign w:val="superscript"/>
          <w:lang w:val="pt-BR" w:eastAsia="zh-CN"/>
        </w:rPr>
        <w:t>)</w:t>
      </w:r>
      <w:r w:rsidR="00270329">
        <w:rPr>
          <w:sz w:val="28"/>
          <w:szCs w:val="28"/>
          <w:lang w:val="pt-BR" w:eastAsia="zh-CN"/>
        </w:rPr>
        <w:t xml:space="preserve">. </w:t>
      </w:r>
    </w:p>
    <w:p w:rsidR="004517D4" w:rsidRPr="00C61221" w:rsidRDefault="004517D4" w:rsidP="00C61221">
      <w:pPr>
        <w:spacing w:before="60" w:after="60"/>
        <w:ind w:firstLine="709"/>
        <w:jc w:val="both"/>
        <w:rPr>
          <w:sz w:val="28"/>
          <w:szCs w:val="28"/>
          <w:lang w:val="pt-BR" w:eastAsia="zh-CN"/>
        </w:rPr>
      </w:pPr>
      <w:r w:rsidRPr="00C61221">
        <w:rPr>
          <w:sz w:val="28"/>
          <w:szCs w:val="28"/>
          <w:lang w:val="vi-VN" w:eastAsia="zh-CN"/>
        </w:rPr>
        <w:t>Bên cạnh đó</w:t>
      </w:r>
      <w:r w:rsidRPr="00C61221">
        <w:rPr>
          <w:sz w:val="28"/>
          <w:szCs w:val="28"/>
          <w:lang w:val="pt-BR" w:eastAsia="zh-CN"/>
        </w:rPr>
        <w:t xml:space="preserve"> từ nguồn vốn </w:t>
      </w:r>
      <w:r w:rsidR="00270329">
        <w:rPr>
          <w:sz w:val="28"/>
          <w:szCs w:val="28"/>
          <w:lang w:val="pt-BR" w:eastAsia="zh-CN"/>
        </w:rPr>
        <w:t>Đề án TCCNN</w:t>
      </w:r>
      <w:r w:rsidRPr="00C61221">
        <w:rPr>
          <w:sz w:val="28"/>
          <w:szCs w:val="28"/>
          <w:lang w:val="pt-BR" w:eastAsia="zh-CN"/>
        </w:rPr>
        <w:t xml:space="preserve"> </w:t>
      </w:r>
      <w:r w:rsidRPr="00C61221">
        <w:rPr>
          <w:sz w:val="28"/>
          <w:szCs w:val="28"/>
          <w:lang w:val="vi-VN" w:eastAsia="zh-CN"/>
        </w:rPr>
        <w:t>giai đoạn 2017</w:t>
      </w:r>
      <w:r w:rsidR="00270329">
        <w:rPr>
          <w:sz w:val="28"/>
          <w:szCs w:val="28"/>
          <w:lang w:eastAsia="zh-CN"/>
        </w:rPr>
        <w:t xml:space="preserve"> </w:t>
      </w:r>
      <w:r w:rsidRPr="00C61221">
        <w:rPr>
          <w:sz w:val="28"/>
          <w:szCs w:val="28"/>
          <w:lang w:val="vi-VN" w:eastAsia="zh-CN"/>
        </w:rPr>
        <w:t>-</w:t>
      </w:r>
      <w:r w:rsidR="00270329">
        <w:rPr>
          <w:sz w:val="28"/>
          <w:szCs w:val="28"/>
          <w:lang w:eastAsia="zh-CN"/>
        </w:rPr>
        <w:t xml:space="preserve"> </w:t>
      </w:r>
      <w:r w:rsidRPr="00C61221">
        <w:rPr>
          <w:sz w:val="28"/>
          <w:szCs w:val="28"/>
          <w:lang w:val="vi-VN" w:eastAsia="zh-CN"/>
        </w:rPr>
        <w:t xml:space="preserve">2019 hỗ trợ </w:t>
      </w:r>
      <w:r w:rsidRPr="00C61221">
        <w:rPr>
          <w:sz w:val="28"/>
          <w:szCs w:val="28"/>
          <w:lang w:val="pt-BR" w:eastAsia="zh-CN"/>
        </w:rPr>
        <w:t>09 HTX thành lập</w:t>
      </w:r>
      <w:r w:rsidRPr="00C61221">
        <w:rPr>
          <w:sz w:val="28"/>
          <w:szCs w:val="28"/>
          <w:lang w:val="vi-VN" w:eastAsia="zh-CN"/>
        </w:rPr>
        <w:t xml:space="preserve"> mới</w:t>
      </w:r>
      <w:r w:rsidRPr="00C61221">
        <w:rPr>
          <w:sz w:val="28"/>
          <w:szCs w:val="28"/>
          <w:lang w:val="pt-BR" w:eastAsia="zh-CN"/>
        </w:rPr>
        <w:t xml:space="preserve">, với tổng kinh phí gần 724 triệu đồng. </w:t>
      </w:r>
    </w:p>
    <w:p w:rsidR="004517D4" w:rsidRPr="00C61221" w:rsidRDefault="004517D4" w:rsidP="00C61221">
      <w:pPr>
        <w:spacing w:before="60" w:after="60"/>
        <w:ind w:firstLine="709"/>
        <w:jc w:val="both"/>
        <w:rPr>
          <w:sz w:val="28"/>
          <w:szCs w:val="28"/>
          <w:lang w:eastAsia="zh-CN"/>
        </w:rPr>
      </w:pPr>
      <w:r w:rsidRPr="00C61221">
        <w:rPr>
          <w:sz w:val="28"/>
          <w:szCs w:val="28"/>
          <w:lang w:val="pt-BR" w:eastAsia="zh-CN"/>
        </w:rPr>
        <w:t>Năm 2020 hỗ trợ thành lập 0</w:t>
      </w:r>
      <w:r w:rsidRPr="00C61221">
        <w:rPr>
          <w:sz w:val="28"/>
          <w:szCs w:val="28"/>
          <w:lang w:val="vi-VN" w:eastAsia="zh-CN"/>
        </w:rPr>
        <w:t>2</w:t>
      </w:r>
      <w:r w:rsidRPr="00C61221">
        <w:rPr>
          <w:sz w:val="28"/>
          <w:szCs w:val="28"/>
          <w:lang w:val="pt-BR" w:eastAsia="zh-CN"/>
        </w:rPr>
        <w:t xml:space="preserve"> HTXNN từ nguồn vốn </w:t>
      </w:r>
      <w:r w:rsidR="00270329">
        <w:rPr>
          <w:sz w:val="28"/>
          <w:szCs w:val="28"/>
          <w:lang w:val="pt-BR" w:eastAsia="zh-CN"/>
        </w:rPr>
        <w:t xml:space="preserve">Chương trình </w:t>
      </w:r>
      <w:r w:rsidRPr="00C61221">
        <w:rPr>
          <w:sz w:val="28"/>
          <w:szCs w:val="28"/>
          <w:lang w:val="pt-BR" w:eastAsia="zh-CN"/>
        </w:rPr>
        <w:t xml:space="preserve">MTQG </w:t>
      </w:r>
      <w:r w:rsidR="00270329">
        <w:rPr>
          <w:sz w:val="28"/>
          <w:szCs w:val="28"/>
          <w:lang w:val="pt-BR" w:eastAsia="zh-CN"/>
        </w:rPr>
        <w:t>Xây dựng</w:t>
      </w:r>
      <w:r w:rsidRPr="00C61221">
        <w:rPr>
          <w:sz w:val="28"/>
          <w:szCs w:val="28"/>
          <w:lang w:val="pt-BR" w:eastAsia="zh-CN"/>
        </w:rPr>
        <w:t xml:space="preserve"> Nông thôn mới, với kinh phí </w:t>
      </w:r>
      <w:r w:rsidRPr="00C61221">
        <w:rPr>
          <w:sz w:val="28"/>
          <w:szCs w:val="28"/>
          <w:lang w:val="vi-VN" w:eastAsia="zh-CN"/>
        </w:rPr>
        <w:t>359,95</w:t>
      </w:r>
      <w:r w:rsidRPr="00C61221">
        <w:rPr>
          <w:sz w:val="28"/>
          <w:szCs w:val="28"/>
          <w:lang w:val="pt-BR" w:eastAsia="zh-CN"/>
        </w:rPr>
        <w:t xml:space="preserve"> triệu đồng (thành lập HTX từ THT gắn với sản phẩm OCOP)</w:t>
      </w:r>
      <w:r w:rsidRPr="00C61221">
        <w:rPr>
          <w:sz w:val="28"/>
          <w:szCs w:val="28"/>
          <w:lang w:val="vi-VN" w:eastAsia="zh-CN"/>
        </w:rPr>
        <w:t>.</w:t>
      </w:r>
    </w:p>
    <w:p w:rsidR="004517D4" w:rsidRPr="00C61221" w:rsidRDefault="004517D4" w:rsidP="00C61221">
      <w:pPr>
        <w:spacing w:before="60" w:after="60"/>
        <w:ind w:firstLine="709"/>
        <w:jc w:val="both"/>
        <w:rPr>
          <w:sz w:val="28"/>
          <w:szCs w:val="28"/>
          <w:lang w:eastAsia="zh-CN"/>
        </w:rPr>
      </w:pPr>
      <w:r w:rsidRPr="00C61221">
        <w:rPr>
          <w:sz w:val="28"/>
          <w:szCs w:val="28"/>
          <w:lang w:eastAsia="zh-CN"/>
        </w:rPr>
        <w:t>Ngoài ra, Tỉnh cũng đã hỗ trợ phần mềm kế toán cho 44 HTX với số tiền là 310 triệu đồng.</w:t>
      </w:r>
    </w:p>
    <w:p w:rsidR="004517D4" w:rsidRPr="00C61221" w:rsidRDefault="001253E2" w:rsidP="00C61221">
      <w:pPr>
        <w:spacing w:before="60" w:after="60"/>
        <w:ind w:firstLine="709"/>
        <w:jc w:val="both"/>
        <w:rPr>
          <w:i/>
          <w:sz w:val="28"/>
          <w:szCs w:val="28"/>
          <w:lang w:eastAsia="zh-CN"/>
        </w:rPr>
      </w:pPr>
      <w:r>
        <w:rPr>
          <w:i/>
          <w:sz w:val="28"/>
          <w:szCs w:val="28"/>
          <w:lang w:eastAsia="zh-CN"/>
        </w:rPr>
        <w:t>*</w:t>
      </w:r>
      <w:r w:rsidR="004517D4" w:rsidRPr="00C61221">
        <w:rPr>
          <w:i/>
          <w:sz w:val="28"/>
          <w:szCs w:val="28"/>
          <w:lang w:eastAsia="zh-CN"/>
        </w:rPr>
        <w:t xml:space="preserve"> </w:t>
      </w:r>
      <w:r w:rsidR="004517D4" w:rsidRPr="00C61221">
        <w:rPr>
          <w:bCs/>
          <w:i/>
          <w:sz w:val="28"/>
          <w:szCs w:val="28"/>
        </w:rPr>
        <w:t>Về chính sách tạo điều kiện tham gia các chương trình mục tiêu, chương trình phát triển kinh tế</w:t>
      </w:r>
      <w:r>
        <w:rPr>
          <w:bCs/>
          <w:i/>
          <w:sz w:val="28"/>
          <w:szCs w:val="28"/>
        </w:rPr>
        <w:t xml:space="preserve"> </w:t>
      </w:r>
      <w:r w:rsidR="004517D4" w:rsidRPr="00C61221">
        <w:rPr>
          <w:bCs/>
          <w:i/>
          <w:sz w:val="28"/>
          <w:szCs w:val="28"/>
        </w:rPr>
        <w:t>-</w:t>
      </w:r>
      <w:r>
        <w:rPr>
          <w:bCs/>
          <w:i/>
          <w:sz w:val="28"/>
          <w:szCs w:val="28"/>
        </w:rPr>
        <w:t xml:space="preserve"> </w:t>
      </w:r>
      <w:r w:rsidR="004517D4" w:rsidRPr="00C61221">
        <w:rPr>
          <w:bCs/>
          <w:i/>
          <w:sz w:val="28"/>
          <w:szCs w:val="28"/>
        </w:rPr>
        <w:t>xã hội</w:t>
      </w:r>
    </w:p>
    <w:p w:rsidR="004517D4" w:rsidRPr="00C61221" w:rsidRDefault="004517D4" w:rsidP="00C61221">
      <w:pPr>
        <w:tabs>
          <w:tab w:val="left" w:pos="993"/>
        </w:tabs>
        <w:spacing w:before="60" w:after="60"/>
        <w:ind w:firstLine="709"/>
        <w:jc w:val="both"/>
        <w:rPr>
          <w:sz w:val="28"/>
          <w:szCs w:val="28"/>
          <w:lang w:val="pt-BR" w:eastAsia="zh-CN"/>
        </w:rPr>
      </w:pPr>
      <w:r w:rsidRPr="00C61221">
        <w:rPr>
          <w:rFonts w:eastAsia="Arial"/>
          <w:bCs/>
          <w:sz w:val="28"/>
          <w:szCs w:val="28"/>
          <w:lang w:eastAsia="zh-CN"/>
        </w:rPr>
        <w:t xml:space="preserve">- </w:t>
      </w:r>
      <w:r w:rsidRPr="00C61221">
        <w:rPr>
          <w:rFonts w:eastAsia="Arial"/>
          <w:bCs/>
          <w:sz w:val="28"/>
          <w:szCs w:val="28"/>
          <w:lang w:val="vi-VN" w:eastAsia="zh-CN"/>
        </w:rPr>
        <w:t>Từ nguồn kinh phí</w:t>
      </w:r>
      <w:r w:rsidR="001253E2">
        <w:rPr>
          <w:rFonts w:eastAsia="Arial"/>
          <w:bCs/>
          <w:sz w:val="28"/>
          <w:szCs w:val="28"/>
          <w:lang w:eastAsia="zh-CN"/>
        </w:rPr>
        <w:t xml:space="preserve"> </w:t>
      </w:r>
      <w:r w:rsidRPr="00C61221">
        <w:rPr>
          <w:sz w:val="28"/>
          <w:szCs w:val="28"/>
          <w:lang w:val="vi-VN" w:eastAsia="zh-CN"/>
        </w:rPr>
        <w:t xml:space="preserve">Chương trình </w:t>
      </w:r>
      <w:r w:rsidR="001253E2">
        <w:rPr>
          <w:sz w:val="28"/>
          <w:szCs w:val="28"/>
          <w:lang w:eastAsia="zh-CN"/>
        </w:rPr>
        <w:t>MTQG</w:t>
      </w:r>
      <w:r w:rsidR="001253E2">
        <w:rPr>
          <w:sz w:val="28"/>
          <w:szCs w:val="28"/>
          <w:lang w:val="vi-VN" w:eastAsia="zh-CN"/>
        </w:rPr>
        <w:t xml:space="preserve"> </w:t>
      </w:r>
      <w:r w:rsidR="001253E2">
        <w:rPr>
          <w:sz w:val="28"/>
          <w:szCs w:val="28"/>
          <w:lang w:eastAsia="zh-CN"/>
        </w:rPr>
        <w:t>V</w:t>
      </w:r>
      <w:r w:rsidRPr="00C61221">
        <w:rPr>
          <w:sz w:val="28"/>
          <w:szCs w:val="28"/>
          <w:lang w:val="vi-VN" w:eastAsia="zh-CN"/>
        </w:rPr>
        <w:t xml:space="preserve">ệ sinh an toàn thực phẩm và Chương trình </w:t>
      </w:r>
      <w:r w:rsidR="001253E2">
        <w:rPr>
          <w:sz w:val="28"/>
          <w:szCs w:val="28"/>
          <w:lang w:eastAsia="zh-CN"/>
        </w:rPr>
        <w:t xml:space="preserve">MTQG </w:t>
      </w:r>
      <w:r w:rsidRPr="00C61221">
        <w:rPr>
          <w:sz w:val="28"/>
          <w:szCs w:val="28"/>
          <w:lang w:val="vi-VN" w:eastAsia="zh-CN"/>
        </w:rPr>
        <w:t>giảm nghèo</w:t>
      </w:r>
      <w:r w:rsidR="001253E2">
        <w:rPr>
          <w:sz w:val="28"/>
          <w:szCs w:val="28"/>
          <w:lang w:eastAsia="zh-CN"/>
        </w:rPr>
        <w:t xml:space="preserve"> bền vững</w:t>
      </w:r>
      <w:r w:rsidRPr="00C61221">
        <w:rPr>
          <w:sz w:val="28"/>
          <w:szCs w:val="28"/>
          <w:lang w:val="vi-VN" w:eastAsia="zh-CN"/>
        </w:rPr>
        <w:t xml:space="preserve">; Chương trình </w:t>
      </w:r>
      <w:r w:rsidR="001253E2">
        <w:rPr>
          <w:sz w:val="28"/>
          <w:szCs w:val="28"/>
          <w:lang w:eastAsia="zh-CN"/>
        </w:rPr>
        <w:t>MTQG</w:t>
      </w:r>
      <w:r w:rsidRPr="00C61221">
        <w:rPr>
          <w:sz w:val="28"/>
          <w:szCs w:val="28"/>
          <w:lang w:val="vi-VN" w:eastAsia="zh-CN"/>
        </w:rPr>
        <w:t xml:space="preserve"> </w:t>
      </w:r>
      <w:r w:rsidR="001253E2">
        <w:rPr>
          <w:sz w:val="28"/>
          <w:szCs w:val="28"/>
          <w:lang w:eastAsia="zh-CN"/>
        </w:rPr>
        <w:t>X</w:t>
      </w:r>
      <w:r w:rsidRPr="00C61221">
        <w:rPr>
          <w:sz w:val="28"/>
          <w:szCs w:val="28"/>
          <w:lang w:val="vi-VN" w:eastAsia="zh-CN"/>
        </w:rPr>
        <w:t xml:space="preserve">ây dựng nông thôn mới hỗ trợ vốn mua máy móc, thiết bị phục vụ phát triển sản xuất cho 316 mô hình cho các HTXNN, THT. Tổng kinh phí hỗ trợ 22.422,3 triệu đồng </w:t>
      </w:r>
      <w:r w:rsidRPr="00C61221">
        <w:rPr>
          <w:sz w:val="28"/>
          <w:szCs w:val="28"/>
          <w:lang w:val="pt-BR" w:eastAsia="zh-CN"/>
        </w:rPr>
        <w:t>(trong đó, năm 2020 hỗ trợ 06 HTX mua máy móc, thiết bị với tổng kinh phí hỗ trợ là 1.555 triệu đồng; 05 HTX thực hiện theo chuỗi giá trị, kinh phí hỗ trợ là 1.630 triệu đồng).</w:t>
      </w:r>
    </w:p>
    <w:p w:rsidR="004517D4" w:rsidRPr="001253E2" w:rsidRDefault="004517D4" w:rsidP="00C61221">
      <w:pPr>
        <w:spacing w:before="60" w:after="60"/>
        <w:ind w:firstLine="720"/>
        <w:jc w:val="both"/>
        <w:rPr>
          <w:spacing w:val="-2"/>
          <w:sz w:val="28"/>
          <w:szCs w:val="28"/>
          <w:lang w:val="pt-BR" w:eastAsia="zh-CN"/>
        </w:rPr>
      </w:pPr>
      <w:r w:rsidRPr="00C61221">
        <w:rPr>
          <w:spacing w:val="2"/>
          <w:sz w:val="28"/>
          <w:szCs w:val="28"/>
          <w:lang w:val="pt-BR" w:eastAsia="zh-CN"/>
        </w:rPr>
        <w:lastRenderedPageBreak/>
        <w:t xml:space="preserve">- </w:t>
      </w:r>
      <w:r w:rsidRPr="001253E2">
        <w:rPr>
          <w:spacing w:val="-2"/>
          <w:sz w:val="28"/>
          <w:szCs w:val="28"/>
          <w:lang w:val="pt-BR" w:eastAsia="zh-CN"/>
        </w:rPr>
        <w:t xml:space="preserve">Từ nguồn kinh phí dự án VnSAT: </w:t>
      </w:r>
      <w:r w:rsidR="001253E2" w:rsidRPr="001253E2">
        <w:rPr>
          <w:spacing w:val="-2"/>
          <w:sz w:val="28"/>
          <w:szCs w:val="28"/>
          <w:lang w:val="pt-BR" w:eastAsia="zh-CN"/>
        </w:rPr>
        <w:t>g</w:t>
      </w:r>
      <w:r w:rsidRPr="001253E2">
        <w:rPr>
          <w:spacing w:val="-2"/>
          <w:sz w:val="28"/>
          <w:szCs w:val="28"/>
          <w:lang w:val="pt-BR" w:eastAsia="zh-CN"/>
        </w:rPr>
        <w:t>iai đoạn 2018</w:t>
      </w:r>
      <w:r w:rsidR="001253E2" w:rsidRPr="001253E2">
        <w:rPr>
          <w:spacing w:val="-2"/>
          <w:sz w:val="28"/>
          <w:szCs w:val="28"/>
          <w:lang w:val="pt-BR" w:eastAsia="zh-CN"/>
        </w:rPr>
        <w:t xml:space="preserve"> </w:t>
      </w:r>
      <w:r w:rsidRPr="001253E2">
        <w:rPr>
          <w:spacing w:val="-2"/>
          <w:sz w:val="28"/>
          <w:szCs w:val="28"/>
          <w:lang w:val="pt-BR" w:eastAsia="zh-CN"/>
        </w:rPr>
        <w:t>-</w:t>
      </w:r>
      <w:r w:rsidR="001253E2" w:rsidRPr="001253E2">
        <w:rPr>
          <w:spacing w:val="-2"/>
          <w:sz w:val="28"/>
          <w:szCs w:val="28"/>
          <w:lang w:val="pt-BR" w:eastAsia="zh-CN"/>
        </w:rPr>
        <w:t xml:space="preserve"> 2020 hỗ trợ đầu tư cơ sở hạ </w:t>
      </w:r>
      <w:r w:rsidRPr="001253E2">
        <w:rPr>
          <w:spacing w:val="-2"/>
          <w:sz w:val="28"/>
          <w:szCs w:val="28"/>
          <w:lang w:val="pt-BR" w:eastAsia="zh-CN"/>
        </w:rPr>
        <w:t xml:space="preserve">tầng cho </w:t>
      </w:r>
      <w:r w:rsidRPr="001253E2">
        <w:rPr>
          <w:spacing w:val="-2"/>
          <w:sz w:val="28"/>
          <w:szCs w:val="28"/>
          <w:lang w:val="vi-VN" w:eastAsia="zh-CN"/>
        </w:rPr>
        <w:t xml:space="preserve">16 </w:t>
      </w:r>
      <w:r w:rsidRPr="001253E2">
        <w:rPr>
          <w:spacing w:val="-2"/>
          <w:sz w:val="28"/>
          <w:szCs w:val="28"/>
          <w:lang w:val="pt-BR" w:eastAsia="zh-CN"/>
        </w:rPr>
        <w:t>HTX tham gia dự án (đường giao thông, cống trạm bơm, kho tạm trữ, đường điện trung thế và trạm biến áp) với tổng vốn đầu tư 50.437 triệu đồng. Hỗ trợ 01 HTX mua 02 máy cuộn rơm với tổng giá trị 1.446 triệu đồng.</w:t>
      </w:r>
    </w:p>
    <w:p w:rsidR="004517D4" w:rsidRPr="00C61221" w:rsidRDefault="004517D4" w:rsidP="00C61221">
      <w:pPr>
        <w:spacing w:before="60" w:after="60"/>
        <w:ind w:firstLine="720"/>
        <w:jc w:val="both"/>
        <w:rPr>
          <w:spacing w:val="2"/>
          <w:sz w:val="28"/>
          <w:szCs w:val="28"/>
          <w:lang w:val="pt-BR" w:eastAsia="zh-CN"/>
        </w:rPr>
      </w:pPr>
      <w:r w:rsidRPr="00C61221">
        <w:rPr>
          <w:spacing w:val="2"/>
          <w:sz w:val="28"/>
          <w:szCs w:val="28"/>
          <w:lang w:val="pt-BR" w:eastAsia="zh-CN"/>
        </w:rPr>
        <w:t xml:space="preserve">- Từ nguồn kinh phí </w:t>
      </w:r>
      <w:r w:rsidRPr="00C61221">
        <w:rPr>
          <w:sz w:val="28"/>
          <w:szCs w:val="28"/>
          <w:lang w:eastAsia="zh-CN"/>
        </w:rPr>
        <w:t>Chương trình Khuyến công địa phương, g</w:t>
      </w:r>
      <w:r w:rsidRPr="00C61221">
        <w:rPr>
          <w:spacing w:val="2"/>
          <w:sz w:val="28"/>
          <w:szCs w:val="28"/>
          <w:lang w:val="pt-BR" w:eastAsia="zh-CN"/>
        </w:rPr>
        <w:t>iai đoạn 2017</w:t>
      </w:r>
      <w:r w:rsidR="001253E2">
        <w:rPr>
          <w:spacing w:val="2"/>
          <w:sz w:val="28"/>
          <w:szCs w:val="28"/>
          <w:lang w:val="pt-BR" w:eastAsia="zh-CN"/>
        </w:rPr>
        <w:t xml:space="preserve"> </w:t>
      </w:r>
      <w:r w:rsidRPr="00C61221">
        <w:rPr>
          <w:spacing w:val="2"/>
          <w:sz w:val="28"/>
          <w:szCs w:val="28"/>
          <w:lang w:val="pt-BR" w:eastAsia="zh-CN"/>
        </w:rPr>
        <w:t>-</w:t>
      </w:r>
      <w:r w:rsidR="001253E2">
        <w:rPr>
          <w:spacing w:val="2"/>
          <w:sz w:val="28"/>
          <w:szCs w:val="28"/>
          <w:lang w:val="pt-BR" w:eastAsia="zh-CN"/>
        </w:rPr>
        <w:t xml:space="preserve"> </w:t>
      </w:r>
      <w:r w:rsidRPr="00C61221">
        <w:rPr>
          <w:spacing w:val="2"/>
          <w:sz w:val="28"/>
          <w:szCs w:val="28"/>
          <w:lang w:val="pt-BR" w:eastAsia="zh-CN"/>
        </w:rPr>
        <w:t xml:space="preserve">2020 </w:t>
      </w:r>
      <w:r w:rsidRPr="00C61221">
        <w:rPr>
          <w:sz w:val="28"/>
          <w:szCs w:val="28"/>
          <w:lang w:eastAsia="zh-CN"/>
        </w:rPr>
        <w:t>đã hỗ trợ 02 HTX, 01 THT đầu tư máy móc, thiết bị tiên tiến vào hoạt động sản xuất nhằm năng cao hiệu quả sản xuất, với tổng kinh phí hỗ trợ là 475 triệu đồng.</w:t>
      </w:r>
    </w:p>
    <w:p w:rsidR="004517D4" w:rsidRPr="00C61221" w:rsidRDefault="004517D4" w:rsidP="00C61221">
      <w:pPr>
        <w:spacing w:before="60" w:after="60"/>
        <w:ind w:firstLine="709"/>
        <w:jc w:val="both"/>
        <w:rPr>
          <w:sz w:val="28"/>
          <w:szCs w:val="28"/>
          <w:lang w:eastAsia="zh-CN"/>
        </w:rPr>
      </w:pPr>
      <w:r w:rsidRPr="00C61221">
        <w:rPr>
          <w:i/>
          <w:lang w:eastAsia="zh-CN"/>
        </w:rPr>
        <w:t xml:space="preserve">- </w:t>
      </w:r>
      <w:r w:rsidRPr="00C61221">
        <w:rPr>
          <w:sz w:val="28"/>
          <w:szCs w:val="28"/>
          <w:lang w:eastAsia="zh-CN"/>
        </w:rPr>
        <w:t xml:space="preserve">Từ </w:t>
      </w:r>
      <w:r w:rsidRPr="00C61221">
        <w:rPr>
          <w:spacing w:val="2"/>
          <w:sz w:val="28"/>
          <w:szCs w:val="28"/>
          <w:lang w:val="pt-BR" w:eastAsia="zh-CN"/>
        </w:rPr>
        <w:t xml:space="preserve">nguồn kinh phí </w:t>
      </w:r>
      <w:r w:rsidRPr="00C61221">
        <w:rPr>
          <w:sz w:val="28"/>
          <w:szCs w:val="28"/>
          <w:lang w:eastAsia="zh-CN"/>
        </w:rPr>
        <w:t xml:space="preserve">Chương trình </w:t>
      </w:r>
      <w:r w:rsidR="001253E2">
        <w:rPr>
          <w:sz w:val="28"/>
          <w:szCs w:val="28"/>
          <w:lang w:eastAsia="zh-CN"/>
        </w:rPr>
        <w:t>S</w:t>
      </w:r>
      <w:r w:rsidRPr="00C61221">
        <w:rPr>
          <w:sz w:val="28"/>
          <w:szCs w:val="28"/>
          <w:lang w:eastAsia="zh-CN"/>
        </w:rPr>
        <w:t>ử dụng năng lượng tiết kiệm và hiệu quả, giai đoạn 2017</w:t>
      </w:r>
      <w:r w:rsidR="001253E2">
        <w:rPr>
          <w:sz w:val="28"/>
          <w:szCs w:val="28"/>
          <w:lang w:eastAsia="zh-CN"/>
        </w:rPr>
        <w:t xml:space="preserve"> </w:t>
      </w:r>
      <w:r w:rsidRPr="00C61221">
        <w:rPr>
          <w:sz w:val="28"/>
          <w:szCs w:val="28"/>
          <w:lang w:eastAsia="zh-CN"/>
        </w:rPr>
        <w:t>-</w:t>
      </w:r>
      <w:r w:rsidR="001253E2">
        <w:rPr>
          <w:sz w:val="28"/>
          <w:szCs w:val="28"/>
          <w:lang w:eastAsia="zh-CN"/>
        </w:rPr>
        <w:t xml:space="preserve"> </w:t>
      </w:r>
      <w:r w:rsidRPr="00C61221">
        <w:rPr>
          <w:sz w:val="28"/>
          <w:szCs w:val="28"/>
          <w:lang w:eastAsia="zh-CN"/>
        </w:rPr>
        <w:t>2020 đã hỗ trợ 07 HTX, 01 THT xây dựng mô hình trạm bơm điện an toàn và hiệu quả</w:t>
      </w:r>
      <w:r w:rsidR="001253E2">
        <w:rPr>
          <w:sz w:val="28"/>
          <w:szCs w:val="28"/>
          <w:lang w:eastAsia="zh-CN"/>
        </w:rPr>
        <w:t xml:space="preserve"> </w:t>
      </w:r>
      <w:r w:rsidRPr="00C61221">
        <w:rPr>
          <w:sz w:val="28"/>
          <w:szCs w:val="28"/>
          <w:lang w:eastAsia="zh-CN"/>
        </w:rPr>
        <w:t>với tổng kinh phí là 378,800 triệu đồng.</w:t>
      </w:r>
    </w:p>
    <w:p w:rsidR="004517D4" w:rsidRPr="00C61221" w:rsidRDefault="004517D4" w:rsidP="00C61221">
      <w:pPr>
        <w:spacing w:before="60" w:after="60"/>
        <w:ind w:firstLine="709"/>
        <w:jc w:val="both"/>
        <w:rPr>
          <w:sz w:val="28"/>
          <w:szCs w:val="28"/>
          <w:lang w:val="pt-BR" w:eastAsia="zh-CN"/>
        </w:rPr>
      </w:pPr>
      <w:r w:rsidRPr="00C61221">
        <w:rPr>
          <w:sz w:val="28"/>
          <w:szCs w:val="28"/>
          <w:lang w:eastAsia="zh-CN"/>
        </w:rPr>
        <w:t xml:space="preserve">+ Chính sách khuyến khích hợp tác, liên kết sản xuất gắn với tiêu thụ nông sản, xây dựng cánh đồng lớn theo Quyết định 62/2013/QĐ-TTg ngày 25/10/2013 của Thủ tướng Chính phủ: </w:t>
      </w:r>
      <w:r w:rsidRPr="00C61221">
        <w:rPr>
          <w:sz w:val="28"/>
          <w:szCs w:val="28"/>
          <w:lang w:val="pt-BR" w:eastAsia="zh-CN"/>
        </w:rPr>
        <w:t>toàn Tỉnh có 44 đơn vị</w:t>
      </w:r>
      <w:r w:rsidRPr="00C61221">
        <w:rPr>
          <w:sz w:val="28"/>
          <w:szCs w:val="28"/>
          <w:vertAlign w:val="superscript"/>
          <w:lang w:val="pt-BR" w:eastAsia="zh-CN"/>
        </w:rPr>
        <w:t>(</w:t>
      </w:r>
      <w:r w:rsidRPr="00C61221">
        <w:rPr>
          <w:sz w:val="28"/>
          <w:szCs w:val="28"/>
          <w:vertAlign w:val="superscript"/>
          <w:lang w:val="pt-BR" w:eastAsia="zh-CN"/>
        </w:rPr>
        <w:footnoteReference w:id="19"/>
      </w:r>
      <w:r w:rsidRPr="00C61221">
        <w:rPr>
          <w:sz w:val="28"/>
          <w:szCs w:val="28"/>
          <w:vertAlign w:val="superscript"/>
          <w:lang w:val="pt-BR" w:eastAsia="zh-CN"/>
        </w:rPr>
        <w:t>)</w:t>
      </w:r>
      <w:r w:rsidRPr="00C61221">
        <w:rPr>
          <w:sz w:val="28"/>
          <w:szCs w:val="28"/>
          <w:lang w:val="pt-BR" w:eastAsia="zh-CN"/>
        </w:rPr>
        <w:t xml:space="preserve"> được chấp thuận chủ trương xây dựng dự án cánh đồng lớn</w:t>
      </w:r>
      <w:r w:rsidR="001253E2">
        <w:rPr>
          <w:sz w:val="28"/>
          <w:szCs w:val="28"/>
          <w:lang w:val="pt-BR" w:eastAsia="zh-CN"/>
        </w:rPr>
        <w:t xml:space="preserve"> </w:t>
      </w:r>
      <w:r w:rsidRPr="00C61221">
        <w:rPr>
          <w:sz w:val="28"/>
          <w:szCs w:val="28"/>
          <w:lang w:val="pt-BR" w:eastAsia="zh-CN"/>
        </w:rPr>
        <w:t>với tổng diện tích 92.758 ha; trong đó: 03 đơn vị</w:t>
      </w:r>
      <w:r w:rsidRPr="00C61221">
        <w:rPr>
          <w:sz w:val="28"/>
          <w:szCs w:val="28"/>
          <w:vertAlign w:val="superscript"/>
          <w:lang w:val="pt-BR" w:eastAsia="zh-CN"/>
        </w:rPr>
        <w:t>(</w:t>
      </w:r>
      <w:r w:rsidRPr="00C61221">
        <w:rPr>
          <w:sz w:val="28"/>
          <w:szCs w:val="28"/>
          <w:vertAlign w:val="superscript"/>
          <w:lang w:val="pt-BR" w:eastAsia="zh-CN"/>
        </w:rPr>
        <w:footnoteReference w:id="20"/>
      </w:r>
      <w:r w:rsidRPr="00C61221">
        <w:rPr>
          <w:sz w:val="28"/>
          <w:szCs w:val="28"/>
          <w:vertAlign w:val="superscript"/>
          <w:lang w:val="pt-BR" w:eastAsia="zh-CN"/>
        </w:rPr>
        <w:t>)</w:t>
      </w:r>
      <w:r w:rsidRPr="00C61221">
        <w:rPr>
          <w:sz w:val="28"/>
          <w:szCs w:val="28"/>
          <w:lang w:val="pt-BR" w:eastAsia="zh-CN"/>
        </w:rPr>
        <w:t xml:space="preserve"> đã được phê duyệt phương án. Từ khi Nghị định số 98/2018/NĐ-CP ngày 05/7/2018 của Chính phủ có hiệu lực đến nay, chưa có tổ chức, cá nhân nào có đăng ký dự án/ phương án hỗ trợ liên kết trong sản xuất và tiêu thụ sản phẩm nông nghiệp.</w:t>
      </w:r>
    </w:p>
    <w:p w:rsidR="004517D4" w:rsidRPr="00C61221" w:rsidRDefault="004517D4" w:rsidP="00C61221">
      <w:pPr>
        <w:spacing w:before="60" w:after="60"/>
        <w:ind w:firstLine="709"/>
        <w:jc w:val="both"/>
        <w:rPr>
          <w:i/>
          <w:sz w:val="28"/>
          <w:szCs w:val="28"/>
          <w:lang w:val="pt-BR" w:eastAsia="zh-CN"/>
        </w:rPr>
      </w:pPr>
      <w:r w:rsidRPr="00C61221">
        <w:rPr>
          <w:i/>
          <w:sz w:val="28"/>
          <w:szCs w:val="28"/>
          <w:lang w:eastAsia="zh-CN"/>
        </w:rPr>
        <w:t>4.3</w:t>
      </w:r>
      <w:r w:rsidRPr="00C61221">
        <w:rPr>
          <w:i/>
          <w:sz w:val="28"/>
          <w:szCs w:val="28"/>
          <w:lang w:val="vi-VN" w:eastAsia="zh-CN"/>
        </w:rPr>
        <w:t xml:space="preserve"> </w:t>
      </w:r>
      <w:r w:rsidRPr="00C61221">
        <w:rPr>
          <w:i/>
          <w:sz w:val="28"/>
          <w:szCs w:val="28"/>
          <w:lang w:eastAsia="zh-CN"/>
        </w:rPr>
        <w:t xml:space="preserve">Những thuận lợi, </w:t>
      </w:r>
      <w:r w:rsidRPr="00C61221">
        <w:rPr>
          <w:i/>
          <w:iCs/>
          <w:sz w:val="28"/>
          <w:szCs w:val="28"/>
          <w:lang w:eastAsia="zh-CN"/>
        </w:rPr>
        <w:t xml:space="preserve">khó khăn, </w:t>
      </w:r>
      <w:r w:rsidR="001253E2">
        <w:rPr>
          <w:i/>
          <w:iCs/>
          <w:sz w:val="28"/>
          <w:szCs w:val="28"/>
          <w:lang w:eastAsia="zh-CN"/>
        </w:rPr>
        <w:t>vướng mắc về cơ chế, chính sách</w:t>
      </w:r>
    </w:p>
    <w:p w:rsidR="004517D4" w:rsidRPr="00C61221" w:rsidRDefault="001253E2" w:rsidP="00C61221">
      <w:pPr>
        <w:spacing w:before="60" w:after="60"/>
        <w:ind w:firstLine="720"/>
        <w:contextualSpacing/>
        <w:jc w:val="both"/>
        <w:rPr>
          <w:bCs/>
          <w:i/>
          <w:iCs/>
          <w:sz w:val="28"/>
          <w:szCs w:val="28"/>
          <w:lang w:eastAsia="zh-CN"/>
        </w:rPr>
      </w:pPr>
      <w:r>
        <w:rPr>
          <w:bCs/>
          <w:i/>
          <w:iCs/>
          <w:sz w:val="28"/>
          <w:szCs w:val="28"/>
          <w:lang w:eastAsia="zh-CN"/>
        </w:rPr>
        <w:t>a) Thuận lợi</w:t>
      </w:r>
    </w:p>
    <w:p w:rsidR="004517D4" w:rsidRPr="00C61221" w:rsidRDefault="004517D4" w:rsidP="00C61221">
      <w:pPr>
        <w:spacing w:before="60" w:after="60"/>
        <w:ind w:firstLine="720"/>
        <w:contextualSpacing/>
        <w:jc w:val="both"/>
        <w:rPr>
          <w:sz w:val="28"/>
          <w:szCs w:val="28"/>
          <w:lang w:val="sv-SE" w:eastAsia="zh-CN"/>
        </w:rPr>
      </w:pPr>
      <w:r w:rsidRPr="00C61221">
        <w:rPr>
          <w:sz w:val="28"/>
          <w:szCs w:val="28"/>
          <w:shd w:val="clear" w:color="auto" w:fill="FFFFFF"/>
          <w:lang w:val="zu-ZA" w:eastAsia="zh-CN"/>
        </w:rPr>
        <w:t xml:space="preserve">Việc thực hiện tích cực, hiệu quả các thể chế chính sách hỗ trợ phát triển KTTT đã góp phần cho KTTT, HTX của tỉnh đã có những chuyển biến tích cực, tăng nhanh về số lượng, chất lượng từng bước được nâng lên, xuất hiện nhiều mô hình HTX điển hình, </w:t>
      </w:r>
      <w:r w:rsidRPr="00C61221">
        <w:rPr>
          <w:sz w:val="28"/>
          <w:szCs w:val="28"/>
          <w:lang w:val="sv-SE" w:eastAsia="zh-CN"/>
        </w:rPr>
        <w:t>rõ rệt nhất là trong lĩnh vực nông nghiệp</w:t>
      </w:r>
      <w:r w:rsidRPr="00C61221">
        <w:rPr>
          <w:sz w:val="28"/>
          <w:szCs w:val="28"/>
          <w:vertAlign w:val="superscript"/>
          <w:lang w:val="sv-SE" w:eastAsia="zh-CN"/>
        </w:rPr>
        <w:footnoteReference w:id="21"/>
      </w:r>
      <w:r w:rsidRPr="00C61221">
        <w:rPr>
          <w:sz w:val="28"/>
          <w:szCs w:val="28"/>
          <w:lang w:val="sv-SE" w:eastAsia="zh-CN"/>
        </w:rPr>
        <w:t>,</w:t>
      </w:r>
      <w:r w:rsidR="001253E2">
        <w:rPr>
          <w:sz w:val="28"/>
          <w:szCs w:val="28"/>
          <w:lang w:val="sv-SE" w:eastAsia="zh-CN"/>
        </w:rPr>
        <w:t xml:space="preserve"> </w:t>
      </w:r>
      <w:r w:rsidRPr="00C61221">
        <w:rPr>
          <w:sz w:val="28"/>
          <w:szCs w:val="28"/>
          <w:lang w:val="sv-SE" w:eastAsia="zh-CN"/>
        </w:rPr>
        <w:t xml:space="preserve">HTX bước đầu thực hiện vai trò hỗ trợ thúc đẩy kinh tế thành viên phát triển, tăng cường mối liên kết trong nội bộ HTX và giữa HTX với các tổ chức kinh doanh khác, từ đó nâng cao sức cạnh tranh của kinh tế hộ thông qua tổ chức HTX. </w:t>
      </w:r>
    </w:p>
    <w:p w:rsidR="004517D4" w:rsidRPr="00C61221" w:rsidRDefault="004517D4" w:rsidP="00C61221">
      <w:pPr>
        <w:spacing w:before="60" w:after="60"/>
        <w:ind w:firstLine="720"/>
        <w:contextualSpacing/>
        <w:jc w:val="both"/>
        <w:rPr>
          <w:sz w:val="28"/>
          <w:szCs w:val="28"/>
          <w:lang w:val="sv-SE" w:eastAsia="zh-CN"/>
        </w:rPr>
      </w:pPr>
      <w:r w:rsidRPr="00C61221">
        <w:rPr>
          <w:spacing w:val="-6"/>
          <w:sz w:val="28"/>
          <w:szCs w:val="28"/>
          <w:lang w:val="af-ZA" w:eastAsia="zh-CN"/>
        </w:rPr>
        <w:t xml:space="preserve">Quyết định 2261/QĐ-TTg </w:t>
      </w:r>
      <w:r w:rsidR="00383C63">
        <w:rPr>
          <w:spacing w:val="-6"/>
          <w:sz w:val="28"/>
          <w:szCs w:val="28"/>
          <w:lang w:val="af-ZA" w:eastAsia="zh-CN"/>
        </w:rPr>
        <w:t xml:space="preserve">ngày 15/12/2014 </w:t>
      </w:r>
      <w:r w:rsidRPr="00C61221">
        <w:rPr>
          <w:spacing w:val="-6"/>
          <w:sz w:val="28"/>
          <w:szCs w:val="28"/>
          <w:lang w:val="af-ZA" w:eastAsia="zh-CN"/>
        </w:rPr>
        <w:t>của T</w:t>
      </w:r>
      <w:r w:rsidR="00383C63">
        <w:rPr>
          <w:spacing w:val="-6"/>
          <w:sz w:val="28"/>
          <w:szCs w:val="28"/>
          <w:lang w:val="af-ZA" w:eastAsia="zh-CN"/>
        </w:rPr>
        <w:t>hủ tướng Chính phủ</w:t>
      </w:r>
      <w:r w:rsidRPr="00C61221">
        <w:rPr>
          <w:spacing w:val="-6"/>
          <w:sz w:val="28"/>
          <w:szCs w:val="28"/>
          <w:lang w:val="af-ZA" w:eastAsia="zh-CN"/>
        </w:rPr>
        <w:t xml:space="preserve"> về hỗ trợ đầu tư kết cấu hạ tầng cho HTXNN, giúp các HTXNN </w:t>
      </w:r>
      <w:r w:rsidRPr="00C61221">
        <w:rPr>
          <w:sz w:val="28"/>
          <w:szCs w:val="28"/>
          <w:lang w:val="sv-SE" w:eastAsia="zh-CN"/>
        </w:rPr>
        <w:t>chủ động hơn trong việc huy động các nguồn vốn để mở rộng</w:t>
      </w:r>
      <w:r w:rsidRPr="00C61221">
        <w:rPr>
          <w:sz w:val="28"/>
          <w:szCs w:val="28"/>
          <w:lang w:val="af-ZA" w:eastAsia="zh-CN"/>
        </w:rPr>
        <w:t xml:space="preserve"> các ngành nghề mới phục vụ nhu cầu của thành viên.</w:t>
      </w:r>
    </w:p>
    <w:p w:rsidR="004517D4" w:rsidRPr="00C61221" w:rsidRDefault="004517D4" w:rsidP="00C61221">
      <w:pPr>
        <w:spacing w:before="60" w:after="60"/>
        <w:ind w:firstLine="720"/>
        <w:contextualSpacing/>
        <w:jc w:val="both"/>
        <w:rPr>
          <w:sz w:val="28"/>
          <w:szCs w:val="28"/>
          <w:lang w:val="sv-SE" w:eastAsia="zh-CN"/>
        </w:rPr>
      </w:pPr>
      <w:r w:rsidRPr="00C61221">
        <w:rPr>
          <w:sz w:val="28"/>
          <w:szCs w:val="28"/>
          <w:lang w:val="sv-SE" w:eastAsia="zh-CN"/>
        </w:rPr>
        <w:t xml:space="preserve">Nhiều HTX yếu kém đã được quan tâm củng cố, sáp nhập và tổ chức lại các lĩnh vực hoạt động cho phù hợp với yêu cầu thực tế. </w:t>
      </w:r>
    </w:p>
    <w:p w:rsidR="004517D4" w:rsidRPr="00C61221" w:rsidRDefault="004517D4" w:rsidP="00C61221">
      <w:pPr>
        <w:spacing w:before="60" w:after="60"/>
        <w:ind w:firstLine="709"/>
        <w:jc w:val="both"/>
        <w:rPr>
          <w:sz w:val="28"/>
          <w:szCs w:val="28"/>
          <w:lang w:val="vi-VN" w:eastAsia="zh-CN"/>
        </w:rPr>
      </w:pPr>
      <w:r w:rsidRPr="00C61221">
        <w:rPr>
          <w:sz w:val="28"/>
          <w:szCs w:val="28"/>
          <w:lang w:val="vi-VN" w:eastAsia="zh-CN"/>
        </w:rPr>
        <w:t xml:space="preserve">Thực hiện chương trình xây dựng nông thôn mới và Đề án tái </w:t>
      </w:r>
      <w:r w:rsidRPr="00C61221">
        <w:rPr>
          <w:sz w:val="28"/>
          <w:szCs w:val="28"/>
          <w:lang w:eastAsia="zh-CN"/>
        </w:rPr>
        <w:t>TCCNN,</w:t>
      </w:r>
      <w:r w:rsidRPr="00C61221">
        <w:rPr>
          <w:spacing w:val="-4"/>
          <w:sz w:val="28"/>
          <w:szCs w:val="28"/>
          <w:lang w:val="vi-VN" w:eastAsia="zh-CN"/>
        </w:rPr>
        <w:t xml:space="preserve">HTX </w:t>
      </w:r>
      <w:r w:rsidRPr="00C61221">
        <w:rPr>
          <w:sz w:val="28"/>
          <w:szCs w:val="28"/>
          <w:lang w:val="vi-VN" w:eastAsia="zh-CN"/>
        </w:rPr>
        <w:t xml:space="preserve">có vai trò </w:t>
      </w:r>
      <w:r w:rsidRPr="00C61221">
        <w:rPr>
          <w:sz w:val="28"/>
          <w:szCs w:val="28"/>
          <w:lang w:val="zu-ZA" w:eastAsia="zh-CN"/>
        </w:rPr>
        <w:t>chủ yếu</w:t>
      </w:r>
      <w:r w:rsidRPr="00C61221">
        <w:rPr>
          <w:sz w:val="28"/>
          <w:szCs w:val="28"/>
          <w:lang w:val="vi-VN" w:eastAsia="zh-CN"/>
        </w:rPr>
        <w:t xml:space="preserve"> trong phát triển các hình thức hợp tác, liên doanh, liên kết giữa người nông dân và doanh nghiệp, hình thành chuỗi giá trị, bảo đảm hài hòa lợi ích của các chủ thể tham gia từ khâu sản xuất đến tiêu thụ. </w:t>
      </w:r>
      <w:r w:rsidRPr="00C61221">
        <w:rPr>
          <w:sz w:val="28"/>
          <w:szCs w:val="28"/>
          <w:lang w:val="zu-ZA" w:eastAsia="zh-CN"/>
        </w:rPr>
        <w:t xml:space="preserve">HTX đã góp phần rất lớn trong sự nghiệp xây dựng nông thôn mới. Cụ thể, khi HTX được thành lập và hoạt động có hiệu quả sẽ hoàn thành tiêu chí 13 (hình </w:t>
      </w:r>
      <w:r w:rsidRPr="00C61221">
        <w:rPr>
          <w:sz w:val="28"/>
          <w:szCs w:val="28"/>
          <w:lang w:val="zu-ZA" w:eastAsia="zh-CN"/>
        </w:rPr>
        <w:lastRenderedPageBreak/>
        <w:t>thức tổ chức sản xuất) trong bộ tiêu chí quốc gia xây dựng nông thôn mới; đồng thời góp phần thúc đẩy một số tiêu chí khác đạt chuẩn như: giải quyết việc làm cho lao động nông thôn, ổn định an ninh, chính trị ở địa phương...</w:t>
      </w:r>
    </w:p>
    <w:p w:rsidR="004517D4" w:rsidRPr="00C61221" w:rsidRDefault="00383C63" w:rsidP="00C61221">
      <w:pPr>
        <w:spacing w:before="60" w:after="60"/>
        <w:ind w:firstLine="720"/>
        <w:contextualSpacing/>
        <w:jc w:val="both"/>
        <w:rPr>
          <w:bCs/>
          <w:i/>
          <w:sz w:val="28"/>
          <w:szCs w:val="28"/>
          <w:lang w:eastAsia="zh-CN"/>
        </w:rPr>
      </w:pPr>
      <w:r>
        <w:rPr>
          <w:bCs/>
          <w:i/>
          <w:sz w:val="28"/>
          <w:szCs w:val="28"/>
          <w:lang w:eastAsia="zh-CN"/>
        </w:rPr>
        <w:t>b) Khó khăn, vướng mắc</w:t>
      </w:r>
    </w:p>
    <w:p w:rsidR="004517D4" w:rsidRPr="00383C63" w:rsidRDefault="004517D4" w:rsidP="00C61221">
      <w:pPr>
        <w:spacing w:before="60" w:after="60"/>
        <w:ind w:firstLine="720"/>
        <w:contextualSpacing/>
        <w:jc w:val="both"/>
        <w:rPr>
          <w:sz w:val="28"/>
          <w:szCs w:val="28"/>
          <w:lang w:val="af-ZA" w:eastAsia="zh-CN"/>
        </w:rPr>
      </w:pPr>
      <w:r w:rsidRPr="00C61221">
        <w:rPr>
          <w:sz w:val="28"/>
          <w:lang w:eastAsia="zh-CN"/>
        </w:rPr>
        <w:t>- C</w:t>
      </w:r>
      <w:r w:rsidRPr="00C61221">
        <w:rPr>
          <w:sz w:val="28"/>
          <w:szCs w:val="28"/>
          <w:lang w:val="zu-ZA" w:eastAsia="zh-CN"/>
        </w:rPr>
        <w:t>hính sách khuyến khích hỗ trợ KTTT đã được ban hành nhưng vận dụng vào thực tiễn còn nhiều bất cập và hạn chế, chủ yếu là do thiếu nguồn ngân sách để thực hiện chính sách; k</w:t>
      </w:r>
      <w:r w:rsidRPr="00C61221">
        <w:rPr>
          <w:sz w:val="28"/>
          <w:szCs w:val="28"/>
          <w:lang w:val="af-ZA" w:eastAsia="zh-CN"/>
        </w:rPr>
        <w:t>inh phí hỗ trợ chủ yếu là lồng ghép (</w:t>
      </w:r>
      <w:r w:rsidRPr="00C61221">
        <w:rPr>
          <w:i/>
          <w:sz w:val="28"/>
          <w:szCs w:val="28"/>
          <w:lang w:val="af-ZA" w:eastAsia="zh-CN"/>
        </w:rPr>
        <w:t>khuyến nông, khuyến công, giải quyết việc làm, xây dựng nông thôn mới, giảm nghèo bền vững...</w:t>
      </w:r>
      <w:r w:rsidRPr="00C61221">
        <w:rPr>
          <w:sz w:val="28"/>
          <w:szCs w:val="28"/>
          <w:lang w:val="af-ZA" w:eastAsia="zh-CN"/>
        </w:rPr>
        <w:t>),</w:t>
      </w:r>
      <w:r w:rsidRPr="00C61221">
        <w:rPr>
          <w:sz w:val="28"/>
          <w:szCs w:val="28"/>
          <w:lang w:val="zu-ZA" w:eastAsia="zh-CN"/>
        </w:rPr>
        <w:t xml:space="preserve"> văn bản hướng dẫn thực hiện chậm ban hành</w:t>
      </w:r>
      <w:r w:rsidRPr="00C61221">
        <w:rPr>
          <w:sz w:val="28"/>
          <w:szCs w:val="28"/>
          <w:vertAlign w:val="superscript"/>
          <w:lang w:val="zu-ZA" w:eastAsia="zh-CN"/>
        </w:rPr>
        <w:t>(</w:t>
      </w:r>
      <w:r w:rsidRPr="00F71B72">
        <w:rPr>
          <w:sz w:val="28"/>
          <w:szCs w:val="28"/>
          <w:vertAlign w:val="superscript"/>
          <w:lang w:val="af-ZA" w:eastAsia="zh-CN"/>
        </w:rPr>
        <w:footnoteReference w:id="22"/>
      </w:r>
      <w:r w:rsidRPr="00F71B72">
        <w:rPr>
          <w:sz w:val="28"/>
          <w:szCs w:val="28"/>
          <w:vertAlign w:val="superscript"/>
          <w:lang w:val="zu-ZA" w:eastAsia="zh-CN"/>
        </w:rPr>
        <w:t>)</w:t>
      </w:r>
      <w:r w:rsidR="00383C63" w:rsidRPr="00F71B72">
        <w:rPr>
          <w:sz w:val="28"/>
          <w:szCs w:val="28"/>
          <w:lang w:val="zu-ZA" w:eastAsia="zh-CN"/>
        </w:rPr>
        <w:t xml:space="preserve">. </w:t>
      </w:r>
    </w:p>
    <w:p w:rsidR="004517D4" w:rsidRPr="00C61221" w:rsidRDefault="004517D4" w:rsidP="00C61221">
      <w:pPr>
        <w:spacing w:before="60" w:after="60"/>
        <w:ind w:firstLine="720"/>
        <w:contextualSpacing/>
        <w:jc w:val="both"/>
        <w:rPr>
          <w:sz w:val="28"/>
          <w:szCs w:val="28"/>
          <w:lang w:eastAsia="zh-CN"/>
        </w:rPr>
      </w:pPr>
      <w:r w:rsidRPr="00C61221">
        <w:rPr>
          <w:sz w:val="28"/>
          <w:szCs w:val="28"/>
          <w:lang w:eastAsia="zh-CN"/>
        </w:rPr>
        <w:t>- Chính sách về thuế đối với HTX còn bất cập, ngoài việc đóng thuế thu nhập doanh nghiệp như các doanh nghiệp, thành viên HTX còn phải đóng thuế với mức thuế là 5% trên tổng số tiền lãi được chia, trong khi HTX là một tổ chức KTTT.</w:t>
      </w:r>
    </w:p>
    <w:p w:rsidR="004517D4" w:rsidRPr="00F71B72" w:rsidRDefault="004517D4" w:rsidP="00C61221">
      <w:pPr>
        <w:spacing w:before="60" w:after="60"/>
        <w:ind w:firstLine="720"/>
        <w:contextualSpacing/>
        <w:jc w:val="both"/>
        <w:rPr>
          <w:b/>
          <w:sz w:val="28"/>
          <w:lang w:eastAsia="zh-CN"/>
        </w:rPr>
      </w:pPr>
      <w:r w:rsidRPr="00C61221">
        <w:rPr>
          <w:sz w:val="28"/>
          <w:lang w:eastAsia="zh-CN"/>
        </w:rPr>
        <w:t xml:space="preserve">- </w:t>
      </w:r>
      <w:r w:rsidRPr="00C61221">
        <w:rPr>
          <w:sz w:val="28"/>
          <w:szCs w:val="28"/>
          <w:lang w:eastAsia="zh-CN"/>
        </w:rPr>
        <w:t>Chưa kịp thời hướng dẫn về hoạt động tín dụng nội bộ của HTX theo quy định của Luật HTX năm 2012,</w:t>
      </w:r>
      <w:r w:rsidR="00F71B72">
        <w:rPr>
          <w:sz w:val="28"/>
          <w:szCs w:val="28"/>
          <w:lang w:eastAsia="zh-CN"/>
        </w:rPr>
        <w:t xml:space="preserve"> </w:t>
      </w:r>
      <w:r w:rsidRPr="00C61221">
        <w:rPr>
          <w:sz w:val="28"/>
          <w:lang w:eastAsia="zh-CN"/>
        </w:rPr>
        <w:t xml:space="preserve">trong khi </w:t>
      </w:r>
      <w:r w:rsidRPr="00C61221">
        <w:rPr>
          <w:sz w:val="28"/>
          <w:szCs w:val="28"/>
          <w:lang w:eastAsia="zh-CN"/>
        </w:rPr>
        <w:t>dịch vụ này mang lại hiệu quả thiết thực và khắc phục đáng kể tình trạng thiếu vốn trong hoạt động sản xuất kinh doanh của cả HTX lẫn thành viên trong điều kiện HTX còn khó khăn trong tiếp cận nguồn vốn tín dụng từ ngân hàng</w:t>
      </w:r>
      <w:r w:rsidRPr="00C61221">
        <w:rPr>
          <w:sz w:val="28"/>
          <w:szCs w:val="28"/>
          <w:vertAlign w:val="superscript"/>
          <w:lang w:eastAsia="zh-CN"/>
        </w:rPr>
        <w:t>(</w:t>
      </w:r>
      <w:r w:rsidRPr="00C61221">
        <w:rPr>
          <w:sz w:val="28"/>
          <w:szCs w:val="28"/>
          <w:vertAlign w:val="superscript"/>
          <w:lang w:eastAsia="zh-CN"/>
        </w:rPr>
        <w:footnoteReference w:id="23"/>
      </w:r>
      <w:r w:rsidRPr="00C61221">
        <w:rPr>
          <w:sz w:val="28"/>
          <w:szCs w:val="28"/>
          <w:vertAlign w:val="superscript"/>
          <w:lang w:eastAsia="zh-CN"/>
        </w:rPr>
        <w:t>)</w:t>
      </w:r>
      <w:r w:rsidR="00F71B72">
        <w:rPr>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Về chính sách đất đai: quy định ưu đãi về miễn tiền thuê đất cho cả thời gian thuê khi HTX sử dụng đất làm mặt bằng xây dựng trụ sở </w:t>
      </w:r>
      <w:r w:rsidR="00F71B72">
        <w:rPr>
          <w:sz w:val="28"/>
          <w:szCs w:val="28"/>
          <w:lang w:eastAsia="zh-CN"/>
        </w:rPr>
        <w:t>HTX</w:t>
      </w:r>
      <w:r w:rsidRPr="00C61221">
        <w:rPr>
          <w:sz w:val="28"/>
          <w:szCs w:val="28"/>
          <w:lang w:eastAsia="zh-CN"/>
        </w:rPr>
        <w:t>, sân phơi, nhà kho; xây dựng các cơ sở dịch vụ trực tiếp phục vụ sản xuất nông nghiệp, lâm nghiệp, nuôi trồng th</w:t>
      </w:r>
      <w:r w:rsidR="00015662">
        <w:rPr>
          <w:sz w:val="28"/>
          <w:szCs w:val="28"/>
          <w:lang w:eastAsia="zh-CN"/>
        </w:rPr>
        <w:t>uỷ</w:t>
      </w:r>
      <w:r w:rsidRPr="00C61221">
        <w:rPr>
          <w:sz w:val="28"/>
          <w:szCs w:val="28"/>
          <w:lang w:eastAsia="zh-CN"/>
        </w:rPr>
        <w:t xml:space="preserve"> sản, làm muối</w:t>
      </w:r>
      <w:r w:rsidRPr="00C61221">
        <w:rPr>
          <w:sz w:val="28"/>
          <w:szCs w:val="28"/>
          <w:vertAlign w:val="superscript"/>
          <w:lang w:eastAsia="zh-CN"/>
        </w:rPr>
        <w:t xml:space="preserve"> (</w:t>
      </w:r>
      <w:r w:rsidRPr="00C61221">
        <w:rPr>
          <w:sz w:val="28"/>
          <w:szCs w:val="28"/>
          <w:vertAlign w:val="superscript"/>
          <w:lang w:eastAsia="zh-CN"/>
        </w:rPr>
        <w:footnoteReference w:id="24"/>
      </w:r>
      <w:r w:rsidRPr="00C61221">
        <w:rPr>
          <w:sz w:val="28"/>
          <w:szCs w:val="28"/>
          <w:vertAlign w:val="superscript"/>
          <w:lang w:eastAsia="zh-CN"/>
        </w:rPr>
        <w:t>)</w:t>
      </w:r>
      <w:r w:rsidRPr="00C61221">
        <w:rPr>
          <w:sz w:val="28"/>
          <w:szCs w:val="28"/>
          <w:lang w:eastAsia="zh-CN"/>
        </w:rPr>
        <w:t xml:space="preserve"> chỉ áp đối với HTXNN, còn HTX phi nông nghiệp thì không thuộc đối tượng được miễn tiền thuê đất.</w:t>
      </w:r>
      <w:r w:rsidR="00F71B72">
        <w:rPr>
          <w:sz w:val="28"/>
          <w:szCs w:val="28"/>
          <w:lang w:eastAsia="zh-CN"/>
        </w:rPr>
        <w:t xml:space="preserve"> </w:t>
      </w:r>
      <w:r w:rsidRPr="00C61221">
        <w:rPr>
          <w:sz w:val="28"/>
          <w:szCs w:val="28"/>
          <w:lang w:eastAsia="zh-CN"/>
        </w:rPr>
        <w:t xml:space="preserve">Ngoài ra, do vốn điều lệ của các HTXNN còn hạn chế, nên gặp khó khăn trong quá trình chuyển mục đích sử dụng đất, trả tiền thuê đất để thực hiện các dự án nhất là phải hoàn trả tiền bồi thường giải phóng mặt bằng. </w:t>
      </w:r>
    </w:p>
    <w:p w:rsidR="004517D4" w:rsidRPr="00C61221" w:rsidRDefault="004517D4" w:rsidP="00C61221">
      <w:pPr>
        <w:spacing w:before="60" w:after="60"/>
        <w:ind w:firstLine="720"/>
        <w:jc w:val="both"/>
        <w:rPr>
          <w:sz w:val="28"/>
          <w:lang w:eastAsia="zh-CN"/>
        </w:rPr>
      </w:pPr>
      <w:r w:rsidRPr="00C61221">
        <w:rPr>
          <w:sz w:val="28"/>
          <w:lang w:eastAsia="zh-CN"/>
        </w:rPr>
        <w:t>- Chính sách hỗ trợ cán bộ trẻ có trình độ đại học, cao đẳng về làm</w:t>
      </w:r>
      <w:r w:rsidRPr="00C61221">
        <w:rPr>
          <w:sz w:val="28"/>
          <w:szCs w:val="28"/>
          <w:lang w:eastAsia="zh-CN"/>
        </w:rPr>
        <w:br/>
      </w:r>
      <w:r w:rsidRPr="00C61221">
        <w:rPr>
          <w:sz w:val="28"/>
          <w:lang w:eastAsia="zh-CN"/>
        </w:rPr>
        <w:t>việc tại HTX gặp khó khăn trong việc thu hút người có trình độ đại học về làm việc tại HTX do một số cán bộ trẻ còn thiếu kinh nghiệm thực tiễn quản lý và năng lực quản trị nên rất khó điều hành, sử dụng lao động đúng mục tiêu đề ra.</w:t>
      </w:r>
    </w:p>
    <w:p w:rsidR="004517D4" w:rsidRPr="00C61221" w:rsidRDefault="004517D4" w:rsidP="00C61221">
      <w:pPr>
        <w:adjustRightInd w:val="0"/>
        <w:snapToGrid w:val="0"/>
        <w:spacing w:before="60" w:after="60"/>
        <w:ind w:firstLine="720"/>
        <w:jc w:val="both"/>
        <w:rPr>
          <w:i/>
          <w:sz w:val="28"/>
          <w:szCs w:val="28"/>
          <w:lang w:eastAsia="zh-CN"/>
        </w:rPr>
      </w:pPr>
      <w:r w:rsidRPr="00C61221">
        <w:rPr>
          <w:i/>
          <w:sz w:val="28"/>
          <w:szCs w:val="28"/>
          <w:lang w:eastAsia="zh-CN"/>
        </w:rPr>
        <w:t>4.3.</w:t>
      </w:r>
      <w:r w:rsidRPr="00C61221">
        <w:rPr>
          <w:b/>
          <w:sz w:val="28"/>
          <w:szCs w:val="28"/>
          <w:lang w:eastAsia="zh-CN"/>
        </w:rPr>
        <w:t xml:space="preserve"> </w:t>
      </w:r>
      <w:r w:rsidRPr="00C61221">
        <w:rPr>
          <w:i/>
          <w:sz w:val="28"/>
          <w:szCs w:val="28"/>
          <w:lang w:eastAsia="zh-CN"/>
        </w:rPr>
        <w:t>Tình hình triển khai Quyết định số 445/QĐ-TTg ngày 21/3/2016 của Thủ t</w:t>
      </w:r>
      <w:r w:rsidR="00F71B72">
        <w:rPr>
          <w:i/>
          <w:sz w:val="28"/>
          <w:szCs w:val="28"/>
          <w:lang w:eastAsia="zh-CN"/>
        </w:rPr>
        <w:t xml:space="preserve">ướng Chính phủ phê duyệt Đề án </w:t>
      </w:r>
      <w:r w:rsidRPr="00C61221">
        <w:rPr>
          <w:i/>
          <w:sz w:val="28"/>
          <w:szCs w:val="28"/>
          <w:lang w:eastAsia="zh-CN"/>
        </w:rPr>
        <w:t>Thí điểm hoàn thiện, nhân rộng mô hình hợp tác xã kiểu mới tại vùng Đồng bằng sông Cửu Long giai đoạn 2016</w:t>
      </w:r>
      <w:r w:rsidR="00F71B72">
        <w:rPr>
          <w:i/>
          <w:sz w:val="28"/>
          <w:szCs w:val="28"/>
          <w:lang w:eastAsia="zh-CN"/>
        </w:rPr>
        <w:t xml:space="preserve"> </w:t>
      </w:r>
      <w:r w:rsidRPr="00C61221">
        <w:rPr>
          <w:i/>
          <w:sz w:val="28"/>
          <w:szCs w:val="28"/>
          <w:lang w:eastAsia="zh-CN"/>
        </w:rPr>
        <w:t>-</w:t>
      </w:r>
      <w:r w:rsidR="00F71B72">
        <w:rPr>
          <w:i/>
          <w:sz w:val="28"/>
          <w:szCs w:val="28"/>
          <w:lang w:eastAsia="zh-CN"/>
        </w:rPr>
        <w:t xml:space="preserve"> </w:t>
      </w:r>
      <w:r w:rsidRPr="00C61221">
        <w:rPr>
          <w:i/>
          <w:sz w:val="28"/>
          <w:szCs w:val="28"/>
          <w:lang w:eastAsia="zh-CN"/>
        </w:rPr>
        <w:t>20</w:t>
      </w:r>
      <w:r w:rsidR="00F71B72">
        <w:rPr>
          <w:i/>
          <w:sz w:val="28"/>
          <w:szCs w:val="28"/>
          <w:lang w:eastAsia="zh-CN"/>
        </w:rPr>
        <w:t>20</w:t>
      </w:r>
      <w:r w:rsidRPr="00C61221">
        <w:rPr>
          <w:i/>
          <w:sz w:val="28"/>
          <w:szCs w:val="28"/>
          <w:lang w:eastAsia="zh-CN"/>
        </w:rPr>
        <w:t>; Quyết định số 167/QĐ-TTg ngày 03/02/2021 của Thủ t</w:t>
      </w:r>
      <w:r w:rsidR="00F71B72">
        <w:rPr>
          <w:i/>
          <w:sz w:val="28"/>
          <w:szCs w:val="28"/>
          <w:lang w:eastAsia="zh-CN"/>
        </w:rPr>
        <w:t xml:space="preserve">ướng Chính phủ phê duyệt Đề án </w:t>
      </w:r>
      <w:r w:rsidRPr="00C61221">
        <w:rPr>
          <w:i/>
          <w:sz w:val="28"/>
          <w:szCs w:val="28"/>
          <w:lang w:eastAsia="zh-CN"/>
        </w:rPr>
        <w:t>Lựa chọn, hoàn thiện, nhân rộng mô hình HTX kiểu mới hiệu quả tại các địa phương trên cả nước giai đoạn 2021</w:t>
      </w:r>
      <w:r w:rsidR="00F71B72">
        <w:rPr>
          <w:i/>
          <w:sz w:val="28"/>
          <w:szCs w:val="28"/>
          <w:lang w:eastAsia="zh-CN"/>
        </w:rPr>
        <w:t xml:space="preserve"> </w:t>
      </w:r>
      <w:r w:rsidRPr="00C61221">
        <w:rPr>
          <w:i/>
          <w:sz w:val="28"/>
          <w:szCs w:val="28"/>
          <w:lang w:eastAsia="zh-CN"/>
        </w:rPr>
        <w:t>-</w:t>
      </w:r>
      <w:r w:rsidR="00F71B72">
        <w:rPr>
          <w:i/>
          <w:sz w:val="28"/>
          <w:szCs w:val="28"/>
          <w:lang w:eastAsia="zh-CN"/>
        </w:rPr>
        <w:t xml:space="preserve"> 2025</w:t>
      </w:r>
      <w:r w:rsidRPr="00C61221">
        <w:rPr>
          <w:i/>
          <w:sz w:val="28"/>
          <w:szCs w:val="28"/>
          <w:lang w:eastAsia="zh-CN"/>
        </w:rPr>
        <w:tab/>
      </w:r>
    </w:p>
    <w:p w:rsidR="004517D4" w:rsidRPr="00C61221" w:rsidRDefault="004517D4" w:rsidP="00C61221">
      <w:pPr>
        <w:adjustRightInd w:val="0"/>
        <w:snapToGrid w:val="0"/>
        <w:spacing w:before="60" w:after="60"/>
        <w:ind w:firstLine="720"/>
        <w:jc w:val="both"/>
        <w:rPr>
          <w:sz w:val="28"/>
          <w:szCs w:val="28"/>
          <w:lang w:eastAsia="zh-CN"/>
        </w:rPr>
      </w:pPr>
      <w:r w:rsidRPr="00C61221">
        <w:rPr>
          <w:sz w:val="28"/>
          <w:szCs w:val="28"/>
          <w:lang w:eastAsia="zh-CN"/>
        </w:rPr>
        <w:t xml:space="preserve">- </w:t>
      </w:r>
      <w:r w:rsidRPr="00C61221">
        <w:rPr>
          <w:sz w:val="28"/>
          <w:szCs w:val="28"/>
          <w:lang w:val="vi-VN" w:eastAsia="zh-CN"/>
        </w:rPr>
        <w:t xml:space="preserve">Thực hiện Quyết định số 445/QĐ-TTg </w:t>
      </w:r>
      <w:r w:rsidR="0047148F" w:rsidRPr="0047148F">
        <w:rPr>
          <w:sz w:val="28"/>
          <w:szCs w:val="28"/>
          <w:lang w:val="vi-VN" w:eastAsia="zh-CN"/>
        </w:rPr>
        <w:t xml:space="preserve">ngày 21/3/2016 </w:t>
      </w:r>
      <w:r w:rsidRPr="00C61221">
        <w:rPr>
          <w:sz w:val="28"/>
          <w:szCs w:val="28"/>
          <w:lang w:val="vi-VN" w:eastAsia="zh-CN"/>
        </w:rPr>
        <w:t>của Thủ tướng C</w:t>
      </w:r>
      <w:r w:rsidR="0047148F">
        <w:rPr>
          <w:sz w:val="28"/>
          <w:szCs w:val="28"/>
          <w:lang w:val="vi-VN" w:eastAsia="zh-CN"/>
        </w:rPr>
        <w:t>hính phủ</w:t>
      </w:r>
      <w:r w:rsidRPr="00C61221">
        <w:rPr>
          <w:sz w:val="28"/>
          <w:szCs w:val="28"/>
          <w:lang w:val="vi-VN" w:eastAsia="zh-CN"/>
        </w:rPr>
        <w:t xml:space="preserve">, UBND </w:t>
      </w:r>
      <w:r w:rsidR="0047148F">
        <w:rPr>
          <w:sz w:val="28"/>
          <w:szCs w:val="28"/>
          <w:lang w:eastAsia="zh-CN"/>
        </w:rPr>
        <w:t>T</w:t>
      </w:r>
      <w:r w:rsidRPr="00C61221">
        <w:rPr>
          <w:sz w:val="28"/>
          <w:szCs w:val="28"/>
          <w:lang w:val="vi-VN" w:eastAsia="zh-CN"/>
        </w:rPr>
        <w:t xml:space="preserve">ỉnh </w:t>
      </w:r>
      <w:r w:rsidRPr="00C61221">
        <w:rPr>
          <w:sz w:val="28"/>
          <w:szCs w:val="28"/>
          <w:lang w:eastAsia="zh-CN"/>
        </w:rPr>
        <w:t>đã</w:t>
      </w:r>
      <w:r w:rsidRPr="00C61221">
        <w:rPr>
          <w:sz w:val="28"/>
          <w:szCs w:val="28"/>
          <w:lang w:val="vi-VN" w:eastAsia="zh-CN"/>
        </w:rPr>
        <w:t xml:space="preserve"> b</w:t>
      </w:r>
      <w:r w:rsidR="00712481">
        <w:rPr>
          <w:sz w:val="28"/>
          <w:szCs w:val="28"/>
          <w:lang w:val="vi-VN" w:eastAsia="zh-CN"/>
        </w:rPr>
        <w:t>an hành Kế hoạch số 208/KH-UBND</w:t>
      </w:r>
      <w:r w:rsidR="00712481">
        <w:rPr>
          <w:sz w:val="28"/>
          <w:szCs w:val="28"/>
          <w:lang w:eastAsia="zh-CN"/>
        </w:rPr>
        <w:t xml:space="preserve"> </w:t>
      </w:r>
      <w:r w:rsidRPr="00C61221">
        <w:rPr>
          <w:sz w:val="28"/>
          <w:szCs w:val="28"/>
          <w:lang w:val="vi-VN" w:eastAsia="zh-CN"/>
        </w:rPr>
        <w:t xml:space="preserve">ngày </w:t>
      </w:r>
      <w:r w:rsidRPr="00C61221">
        <w:rPr>
          <w:sz w:val="28"/>
          <w:szCs w:val="28"/>
          <w:lang w:val="vi-VN" w:eastAsia="zh-CN"/>
        </w:rPr>
        <w:lastRenderedPageBreak/>
        <w:t>11/8/2017 về triển khai thực hiện Đề án trên địa bàn tỉnh Đồng Tháp đến năm 2020, chọn 09 HTX</w:t>
      </w:r>
      <w:r w:rsidR="00712481">
        <w:rPr>
          <w:sz w:val="28"/>
          <w:szCs w:val="28"/>
          <w:lang w:eastAsia="zh-CN"/>
        </w:rPr>
        <w:t xml:space="preserve"> </w:t>
      </w:r>
      <w:r w:rsidRPr="00C61221">
        <w:rPr>
          <w:sz w:val="28"/>
          <w:szCs w:val="28"/>
          <w:lang w:val="vi-VN" w:eastAsia="zh-CN"/>
        </w:rPr>
        <w:t>tham gia Kế hoạch, gồm 06 HTX đa dịch vụ chủ yếu lúa gạo, 02 HTX trái cây và 01 HTX th</w:t>
      </w:r>
      <w:r w:rsidR="00015662">
        <w:rPr>
          <w:sz w:val="28"/>
          <w:szCs w:val="28"/>
          <w:lang w:val="vi-VN" w:eastAsia="zh-CN"/>
        </w:rPr>
        <w:t>uỷ</w:t>
      </w:r>
      <w:r w:rsidRPr="00C61221">
        <w:rPr>
          <w:sz w:val="28"/>
          <w:szCs w:val="28"/>
          <w:lang w:val="vi-VN" w:eastAsia="zh-CN"/>
        </w:rPr>
        <w:t xml:space="preserve"> sản, phân công cụ thể nhiệm vụ cho từng </w:t>
      </w:r>
      <w:r w:rsidR="00712481">
        <w:rPr>
          <w:sz w:val="28"/>
          <w:szCs w:val="28"/>
          <w:lang w:eastAsia="zh-CN"/>
        </w:rPr>
        <w:t>s</w:t>
      </w:r>
      <w:r w:rsidRPr="00C61221">
        <w:rPr>
          <w:sz w:val="28"/>
          <w:szCs w:val="28"/>
          <w:lang w:val="vi-VN" w:eastAsia="zh-CN"/>
        </w:rPr>
        <w:t>ở, ngành, đơn vị liên quan phụ trách công tác hỗ trợ phát triển HTX kiểu mới và phân kỳ giai đoạn thực hiện sơ kết, tổng kết, đánh giá hiệu quả HTX sau khi tham gia mô hình.</w:t>
      </w:r>
      <w:r w:rsidRPr="00C61221">
        <w:rPr>
          <w:sz w:val="28"/>
          <w:szCs w:val="28"/>
          <w:lang w:eastAsia="zh-CN"/>
        </w:rPr>
        <w:t xml:space="preserve"> Theo đó, căn cứ theo 09 tiêu chí của Quyết định số 3951/QĐ-BNN-KTHT ngày 27/9/2016 của Bộ Nông nghiệp và PTNT, kết quả 03 năm tham gia mô hình HTX kiểu mới; hầu hết 09 HTX đều cơ bản đáp ứng các tiêu chí đề ra như (hoạt động đúng Luật </w:t>
      </w:r>
      <w:r w:rsidR="00712481">
        <w:rPr>
          <w:sz w:val="28"/>
          <w:szCs w:val="28"/>
          <w:lang w:eastAsia="zh-CN"/>
        </w:rPr>
        <w:t>HTX</w:t>
      </w:r>
      <w:r w:rsidRPr="00C61221">
        <w:rPr>
          <w:sz w:val="28"/>
          <w:szCs w:val="28"/>
          <w:lang w:eastAsia="zh-CN"/>
        </w:rPr>
        <w:t xml:space="preserve"> năm 2012, tham gia liên kết, vốn chủ sở hữu đạt 300 triệu đồng trở lên, không có nợ đọng, phương án sản xuất kinh doanh khả thi, giám đốc HTX nhiệt tình, tâm huyết...); </w:t>
      </w:r>
      <w:r w:rsidR="00712481">
        <w:rPr>
          <w:sz w:val="28"/>
          <w:szCs w:val="28"/>
          <w:lang w:eastAsia="zh-CN"/>
        </w:rPr>
        <w:t>s</w:t>
      </w:r>
      <w:r w:rsidRPr="00C61221">
        <w:rPr>
          <w:sz w:val="28"/>
          <w:szCs w:val="28"/>
          <w:lang w:eastAsia="zh-CN"/>
        </w:rPr>
        <w:t>ố lượng HTX xếp loại tốt tăng lên 01 HTX so với khi bắt đầu tham gia kế hoạch.</w:t>
      </w:r>
    </w:p>
    <w:p w:rsidR="004517D4" w:rsidRPr="00C61221" w:rsidRDefault="00712481" w:rsidP="00712481">
      <w:pPr>
        <w:adjustRightInd w:val="0"/>
        <w:snapToGrid w:val="0"/>
        <w:spacing w:before="60" w:after="60"/>
        <w:ind w:firstLine="720"/>
        <w:jc w:val="both"/>
        <w:rPr>
          <w:noProof/>
          <w:sz w:val="28"/>
          <w:szCs w:val="28"/>
          <w:lang w:eastAsia="zh-CN"/>
        </w:rPr>
      </w:pPr>
      <w:r>
        <w:rPr>
          <w:sz w:val="28"/>
          <w:szCs w:val="28"/>
          <w:lang w:eastAsia="zh-CN"/>
        </w:rPr>
        <w:t xml:space="preserve">- Trên cơ sở </w:t>
      </w:r>
      <w:r w:rsidR="004517D4" w:rsidRPr="00C61221">
        <w:rPr>
          <w:sz w:val="28"/>
          <w:szCs w:val="28"/>
          <w:lang w:eastAsia="zh-CN"/>
        </w:rPr>
        <w:t>Quyết định số 167/QĐ-TTg ngày</w:t>
      </w:r>
      <w:r>
        <w:rPr>
          <w:sz w:val="28"/>
          <w:szCs w:val="28"/>
          <w:lang w:eastAsia="zh-CN"/>
        </w:rPr>
        <w:t xml:space="preserve"> 03/02/2021 của Thủ tướng Chính, </w:t>
      </w:r>
      <w:r w:rsidR="004517D4" w:rsidRPr="00C61221">
        <w:rPr>
          <w:noProof/>
          <w:sz w:val="28"/>
          <w:szCs w:val="28"/>
          <w:lang w:eastAsia="zh-CN"/>
        </w:rPr>
        <w:t>Tỉnh đã chỉ đạo cơ quan quản lý n</w:t>
      </w:r>
      <w:r>
        <w:rPr>
          <w:noProof/>
          <w:sz w:val="28"/>
          <w:szCs w:val="28"/>
          <w:lang w:eastAsia="zh-CN"/>
        </w:rPr>
        <w:t xml:space="preserve">hà nước về KTTT tại địa phương </w:t>
      </w:r>
      <w:r w:rsidR="004517D4" w:rsidRPr="00C61221">
        <w:rPr>
          <w:noProof/>
          <w:sz w:val="28"/>
          <w:szCs w:val="28"/>
          <w:lang w:eastAsia="zh-CN"/>
        </w:rPr>
        <w:t xml:space="preserve">phối hợp các đơn vị liên quan triển khai thực hiện Đề án lựa chọn, hoàn thiện, nhân rộng mô hình </w:t>
      </w:r>
      <w:r>
        <w:rPr>
          <w:noProof/>
          <w:sz w:val="28"/>
          <w:szCs w:val="28"/>
          <w:lang w:eastAsia="zh-CN"/>
        </w:rPr>
        <w:t>HTX</w:t>
      </w:r>
      <w:r w:rsidR="004517D4" w:rsidRPr="00C61221">
        <w:rPr>
          <w:noProof/>
          <w:sz w:val="28"/>
          <w:szCs w:val="28"/>
          <w:lang w:eastAsia="zh-CN"/>
        </w:rPr>
        <w:t xml:space="preserve"> kiểu mới hiệu quả tại các địa phương trên cả nước giai đoạn 2021</w:t>
      </w:r>
      <w:r>
        <w:rPr>
          <w:noProof/>
          <w:sz w:val="28"/>
          <w:szCs w:val="28"/>
          <w:lang w:eastAsia="zh-CN"/>
        </w:rPr>
        <w:t xml:space="preserve"> </w:t>
      </w:r>
      <w:r w:rsidR="004517D4" w:rsidRPr="00C61221">
        <w:rPr>
          <w:noProof/>
          <w:sz w:val="28"/>
          <w:szCs w:val="28"/>
          <w:lang w:eastAsia="zh-CN"/>
        </w:rPr>
        <w:t>-</w:t>
      </w:r>
      <w:r>
        <w:rPr>
          <w:noProof/>
          <w:sz w:val="28"/>
          <w:szCs w:val="28"/>
          <w:lang w:eastAsia="zh-CN"/>
        </w:rPr>
        <w:t xml:space="preserve"> </w:t>
      </w:r>
      <w:r w:rsidR="004517D4" w:rsidRPr="00C61221">
        <w:rPr>
          <w:noProof/>
          <w:sz w:val="28"/>
          <w:szCs w:val="28"/>
          <w:lang w:eastAsia="zh-CN"/>
        </w:rPr>
        <w:t>2025</w:t>
      </w:r>
      <w:r w:rsidR="004517D4" w:rsidRPr="00C61221">
        <w:rPr>
          <w:noProof/>
          <w:sz w:val="28"/>
          <w:szCs w:val="28"/>
          <w:vertAlign w:val="superscript"/>
          <w:lang w:eastAsia="zh-CN"/>
        </w:rPr>
        <w:t>(</w:t>
      </w:r>
      <w:r w:rsidR="004517D4" w:rsidRPr="00C61221">
        <w:rPr>
          <w:noProof/>
          <w:sz w:val="28"/>
          <w:szCs w:val="28"/>
          <w:vertAlign w:val="superscript"/>
          <w:lang w:eastAsia="zh-CN"/>
        </w:rPr>
        <w:footnoteReference w:id="25"/>
      </w:r>
      <w:r w:rsidR="004517D4" w:rsidRPr="00C61221">
        <w:rPr>
          <w:noProof/>
          <w:sz w:val="28"/>
          <w:szCs w:val="28"/>
          <w:vertAlign w:val="superscript"/>
          <w:lang w:eastAsia="zh-CN"/>
        </w:rPr>
        <w:t>)</w:t>
      </w:r>
      <w:r w:rsidR="004517D4" w:rsidRPr="00712481">
        <w:rPr>
          <w:noProof/>
          <w:sz w:val="28"/>
          <w:szCs w:val="28"/>
          <w:lang w:eastAsia="zh-CN"/>
        </w:rPr>
        <w:t xml:space="preserve">. </w:t>
      </w:r>
      <w:r w:rsidR="004517D4" w:rsidRPr="00C61221">
        <w:rPr>
          <w:noProof/>
          <w:sz w:val="28"/>
          <w:szCs w:val="28"/>
          <w:lang w:eastAsia="zh-CN"/>
        </w:rPr>
        <w:t xml:space="preserve">Theo đó, trên cơ sở các tiêu chí về: đối tượng, số lượng, thời gian, điều kiện, mô hình, chính sách thực hiện Đề án. Sở Kế hoạch và Đầu tư đã tổng hợp được 12 mô hình từ đề xuất sở, ngành quản lý lĩnh vực, UBND huyện, thành phố trên địa bàn Tỉnh. Dự kiến cuối năm 2021, UBND Tỉnh sẽ ban hành Quyết định phê duyệt danh mục các mô hình </w:t>
      </w:r>
      <w:r>
        <w:rPr>
          <w:noProof/>
          <w:sz w:val="28"/>
          <w:szCs w:val="28"/>
          <w:lang w:eastAsia="zh-CN"/>
        </w:rPr>
        <w:t>HTX</w:t>
      </w:r>
      <w:r w:rsidR="004517D4" w:rsidRPr="00C61221">
        <w:rPr>
          <w:noProof/>
          <w:sz w:val="28"/>
          <w:szCs w:val="28"/>
          <w:lang w:eastAsia="zh-CN"/>
        </w:rPr>
        <w:t xml:space="preserve"> được lựa chọn tham gia Đề án, báo cáo về Bộ Kế hoạch và Đầu tư xem xét, tổng hợp.</w:t>
      </w:r>
    </w:p>
    <w:p w:rsidR="004517D4" w:rsidRPr="00712481" w:rsidRDefault="004517D4" w:rsidP="00C61221">
      <w:pPr>
        <w:spacing w:before="60" w:after="60"/>
        <w:ind w:firstLine="720"/>
        <w:jc w:val="both"/>
        <w:rPr>
          <w:rFonts w:eastAsia="Calibri"/>
          <w:sz w:val="28"/>
          <w:szCs w:val="28"/>
        </w:rPr>
      </w:pPr>
      <w:r w:rsidRPr="00C61221">
        <w:rPr>
          <w:noProof/>
          <w:sz w:val="28"/>
          <w:szCs w:val="28"/>
          <w:lang w:eastAsia="zh-CN"/>
        </w:rPr>
        <w:t xml:space="preserve">Ngoài ra, </w:t>
      </w:r>
      <w:r w:rsidRPr="00C61221">
        <w:rPr>
          <w:bCs/>
          <w:sz w:val="28"/>
          <w:szCs w:val="28"/>
          <w:lang w:val="zu-ZA" w:eastAsia="zh-CN" w:bidi="en-US"/>
        </w:rPr>
        <w:t xml:space="preserve">UBND Tỉnh cũng đã thống nhất việc trình Hội đồng nhân dân Tỉnh dự thảo Nghị quyết chuyên đề </w:t>
      </w:r>
      <w:r w:rsidRPr="00C61221">
        <w:rPr>
          <w:bCs/>
          <w:i/>
          <w:sz w:val="28"/>
          <w:szCs w:val="28"/>
          <w:lang w:val="zu-ZA" w:eastAsia="zh-CN" w:bidi="en-US"/>
        </w:rPr>
        <w:t xml:space="preserve">“Nhân rộng các mô hình </w:t>
      </w:r>
      <w:r w:rsidR="00712481">
        <w:rPr>
          <w:bCs/>
          <w:i/>
          <w:sz w:val="28"/>
          <w:szCs w:val="28"/>
          <w:lang w:val="zu-ZA" w:eastAsia="zh-CN" w:bidi="en-US"/>
        </w:rPr>
        <w:t>KTTT</w:t>
      </w:r>
      <w:r w:rsidRPr="00C61221">
        <w:rPr>
          <w:bCs/>
          <w:i/>
          <w:sz w:val="28"/>
          <w:szCs w:val="28"/>
          <w:lang w:val="zu-ZA" w:eastAsia="zh-CN" w:bidi="en-US"/>
        </w:rPr>
        <w:t xml:space="preserve"> hoạt động hiệu quả”; </w:t>
      </w:r>
      <w:r w:rsidRPr="00C61221">
        <w:rPr>
          <w:bCs/>
          <w:sz w:val="28"/>
          <w:szCs w:val="28"/>
          <w:lang w:val="zu-ZA" w:eastAsia="zh-CN" w:bidi="en-US"/>
        </w:rPr>
        <w:t xml:space="preserve">giao Sở Kế hoạch và Đầu tư chủ trì, phối hợp các sở, ngành, đơn vị liên quan tham mưu </w:t>
      </w:r>
      <w:r w:rsidR="00712481">
        <w:rPr>
          <w:bCs/>
          <w:sz w:val="28"/>
          <w:szCs w:val="28"/>
          <w:lang w:val="zu-ZA" w:eastAsia="zh-CN" w:bidi="en-US"/>
        </w:rPr>
        <w:t>UBND T</w:t>
      </w:r>
      <w:r w:rsidRPr="00C61221">
        <w:rPr>
          <w:bCs/>
          <w:sz w:val="28"/>
          <w:szCs w:val="28"/>
          <w:lang w:val="zu-ZA" w:eastAsia="zh-CN" w:bidi="en-US"/>
        </w:rPr>
        <w:t xml:space="preserve">ỉnh thực hiện theo quy trình văn bản quy phạm pháp luật </w:t>
      </w:r>
      <w:r w:rsidRPr="00C61221">
        <w:rPr>
          <w:bCs/>
          <w:sz w:val="28"/>
          <w:szCs w:val="28"/>
          <w:vertAlign w:val="superscript"/>
          <w:lang w:val="zu-ZA" w:eastAsia="zh-CN" w:bidi="en-US"/>
        </w:rPr>
        <w:t>(</w:t>
      </w:r>
      <w:r w:rsidRPr="00C61221">
        <w:rPr>
          <w:bCs/>
          <w:sz w:val="28"/>
          <w:szCs w:val="28"/>
          <w:vertAlign w:val="superscript"/>
          <w:lang w:val="zu-ZA" w:eastAsia="zh-CN" w:bidi="en-US"/>
        </w:rPr>
        <w:footnoteReference w:id="26"/>
      </w:r>
      <w:r w:rsidRPr="00C61221">
        <w:rPr>
          <w:bCs/>
          <w:sz w:val="28"/>
          <w:szCs w:val="28"/>
          <w:vertAlign w:val="superscript"/>
          <w:lang w:val="zu-ZA" w:eastAsia="zh-CN" w:bidi="en-US"/>
        </w:rPr>
        <w:t>)</w:t>
      </w:r>
      <w:r w:rsidR="00712481">
        <w:rPr>
          <w:bCs/>
          <w:sz w:val="28"/>
          <w:szCs w:val="28"/>
          <w:lang w:val="zu-ZA" w:eastAsia="zh-CN" w:bidi="en-US"/>
        </w:rPr>
        <w:t>.</w:t>
      </w:r>
    </w:p>
    <w:p w:rsidR="004517D4" w:rsidRPr="00C61221" w:rsidRDefault="004517D4" w:rsidP="00C61221">
      <w:pPr>
        <w:adjustRightInd w:val="0"/>
        <w:snapToGrid w:val="0"/>
        <w:spacing w:before="60" w:after="60"/>
        <w:ind w:firstLine="720"/>
        <w:jc w:val="both"/>
        <w:rPr>
          <w:i/>
          <w:sz w:val="28"/>
          <w:szCs w:val="28"/>
          <w:lang w:val="vi-VN" w:eastAsia="zh-CN"/>
        </w:rPr>
      </w:pPr>
      <w:r w:rsidRPr="00C61221">
        <w:rPr>
          <w:i/>
          <w:sz w:val="28"/>
          <w:szCs w:val="28"/>
          <w:lang w:val="vi-VN" w:eastAsia="zh-CN"/>
        </w:rPr>
        <w:t>4.4</w:t>
      </w:r>
      <w:r w:rsidRPr="00C61221">
        <w:rPr>
          <w:i/>
          <w:sz w:val="28"/>
          <w:szCs w:val="28"/>
          <w:lang w:eastAsia="zh-CN"/>
        </w:rPr>
        <w:t>.</w:t>
      </w:r>
      <w:r w:rsidRPr="00C61221">
        <w:rPr>
          <w:i/>
          <w:sz w:val="28"/>
          <w:szCs w:val="28"/>
          <w:lang w:val="vi-VN" w:eastAsia="zh-CN"/>
        </w:rPr>
        <w:t xml:space="preserve"> Tình hình hỗ trợ các tổ hợp tác trong giai đoạn 2013</w:t>
      </w:r>
      <w:r w:rsidR="00712481">
        <w:rPr>
          <w:i/>
          <w:sz w:val="28"/>
          <w:szCs w:val="28"/>
          <w:lang w:eastAsia="zh-CN"/>
        </w:rPr>
        <w:t xml:space="preserve"> </w:t>
      </w:r>
      <w:r w:rsidRPr="00C61221">
        <w:rPr>
          <w:i/>
          <w:sz w:val="28"/>
          <w:szCs w:val="28"/>
          <w:lang w:val="vi-VN" w:eastAsia="zh-CN"/>
        </w:rPr>
        <w:t>-</w:t>
      </w:r>
      <w:r w:rsidR="00712481">
        <w:rPr>
          <w:i/>
          <w:sz w:val="28"/>
          <w:szCs w:val="28"/>
          <w:lang w:eastAsia="zh-CN"/>
        </w:rPr>
        <w:t xml:space="preserve"> </w:t>
      </w:r>
      <w:r w:rsidR="00712481">
        <w:rPr>
          <w:i/>
          <w:sz w:val="28"/>
          <w:szCs w:val="28"/>
          <w:lang w:val="vi-VN" w:eastAsia="zh-CN"/>
        </w:rPr>
        <w:t>2021</w:t>
      </w:r>
    </w:p>
    <w:p w:rsidR="004517D4" w:rsidRPr="00C61221" w:rsidRDefault="004517D4" w:rsidP="00C61221">
      <w:pPr>
        <w:snapToGrid w:val="0"/>
        <w:spacing w:before="60" w:after="60"/>
        <w:ind w:firstLine="720"/>
        <w:jc w:val="both"/>
        <w:rPr>
          <w:rFonts w:eastAsia="NanumGothic"/>
          <w:bCs/>
          <w:sz w:val="28"/>
          <w:szCs w:val="28"/>
          <w:lang w:val="sv-SE" w:eastAsia="zh-CN"/>
        </w:rPr>
      </w:pPr>
      <w:r w:rsidRPr="00C61221">
        <w:rPr>
          <w:rFonts w:eastAsia="NanumGothic"/>
          <w:bCs/>
          <w:sz w:val="28"/>
          <w:szCs w:val="28"/>
          <w:lang w:val="sv-SE" w:eastAsia="zh-CN"/>
        </w:rPr>
        <w:t>Ước đến 31/12/2021, toàn Tỉnh có 1.068 THT, giảm 06 THT so với năm 2013. Doanh thu bình quân của THT khoảng 510 triệu đồng; lợi nhuận bình quân của THT là 138 triệu đồng.</w:t>
      </w:r>
    </w:p>
    <w:p w:rsidR="004517D4" w:rsidRPr="00C61221" w:rsidRDefault="004517D4" w:rsidP="00C61221">
      <w:pPr>
        <w:spacing w:before="60" w:after="60"/>
        <w:ind w:firstLine="567"/>
        <w:jc w:val="both"/>
        <w:outlineLvl w:val="0"/>
        <w:rPr>
          <w:rFonts w:eastAsia="ヒラギノ角ゴ Pro W3"/>
          <w:sz w:val="28"/>
          <w:szCs w:val="28"/>
          <w:lang w:val="af-ZA" w:eastAsia="vi-VN"/>
        </w:rPr>
      </w:pPr>
      <w:r w:rsidRPr="00C61221">
        <w:rPr>
          <w:rFonts w:eastAsia="ヒラギノ角ゴ Pro W3"/>
          <w:sz w:val="28"/>
          <w:szCs w:val="28"/>
          <w:lang w:val="vi-VN" w:eastAsia="vi-VN"/>
        </w:rPr>
        <w:t xml:space="preserve"> Ban Chỉ đạo KTTT các cấp luôn quan tâm, kiểm tra, đôn đốc, hướng dẫn về hoạt động của THT</w:t>
      </w:r>
      <w:r w:rsidRPr="00C61221">
        <w:rPr>
          <w:rFonts w:eastAsia="ヒラギノ角ゴ Pro W3"/>
          <w:sz w:val="28"/>
          <w:szCs w:val="28"/>
          <w:lang w:eastAsia="vi-VN"/>
        </w:rPr>
        <w:t>. Trong các hoạt động,</w:t>
      </w:r>
      <w:r w:rsidR="005670D3">
        <w:rPr>
          <w:rFonts w:eastAsia="ヒラギノ角ゴ Pro W3"/>
          <w:sz w:val="28"/>
          <w:szCs w:val="28"/>
          <w:lang w:eastAsia="vi-VN"/>
        </w:rPr>
        <w:t xml:space="preserve"> </w:t>
      </w:r>
      <w:r w:rsidRPr="00C61221">
        <w:rPr>
          <w:rFonts w:eastAsia="ヒラギノ角ゴ Pro W3"/>
          <w:sz w:val="28"/>
          <w:szCs w:val="28"/>
          <w:lang w:val="af-ZA" w:eastAsia="vi-VN"/>
        </w:rPr>
        <w:t xml:space="preserve">chú trọng tuyên truyền, giới thiệu các hình thức liên kết trong sản xuất và tiêu thụ nông sản; nâng cao chất lượng hoạt động  THT; </w:t>
      </w:r>
      <w:r w:rsidRPr="00C61221">
        <w:rPr>
          <w:rFonts w:eastAsia="ヒラギノ角ゴ Pro W3"/>
          <w:sz w:val="28"/>
          <w:szCs w:val="28"/>
          <w:lang w:val="zu-ZA" w:eastAsia="vi-VN"/>
        </w:rPr>
        <w:t xml:space="preserve">những lợi ích thiết thực của người dân khi tham gia </w:t>
      </w:r>
      <w:r w:rsidRPr="00C61221">
        <w:rPr>
          <w:rFonts w:eastAsia="ヒラギノ角ゴ Pro W3"/>
          <w:sz w:val="28"/>
          <w:szCs w:val="28"/>
          <w:lang w:val="af-ZA" w:eastAsia="vi-VN"/>
        </w:rPr>
        <w:t>KTTT</w:t>
      </w:r>
      <w:r w:rsidRPr="00C61221">
        <w:rPr>
          <w:rFonts w:eastAsia="ヒラギノ角ゴ Pro W3"/>
          <w:sz w:val="28"/>
          <w:szCs w:val="28"/>
          <w:lang w:val="zu-ZA" w:eastAsia="vi-VN"/>
        </w:rPr>
        <w:t>;</w:t>
      </w:r>
      <w:r w:rsidRPr="00C61221">
        <w:rPr>
          <w:rFonts w:eastAsia="ヒラギノ角ゴ Pro W3"/>
          <w:sz w:val="28"/>
          <w:szCs w:val="28"/>
          <w:lang w:val="af-ZA" w:eastAsia="vi-VN"/>
        </w:rPr>
        <w:t xml:space="preserve"> phản ánh những khó khăn, vướng mắc trong quá trình triển khai thực hiện. H</w:t>
      </w:r>
      <w:r w:rsidRPr="00C61221">
        <w:rPr>
          <w:rFonts w:eastAsia="ヒラギノ角ゴ Pro W3"/>
          <w:sz w:val="28"/>
          <w:szCs w:val="28"/>
          <w:shd w:val="clear" w:color="auto" w:fill="FFFFFF"/>
          <w:lang w:eastAsia="vi-VN"/>
        </w:rPr>
        <w:t xml:space="preserve">ướng dẫn và tổ chức thực hiện các chương trình, dự án, đề án và cơ chế, chính sách, kế hoạch phát triển kinh tế tập thể nông, lâm, ngư nghiệp; </w:t>
      </w:r>
      <w:r w:rsidR="005670D3">
        <w:rPr>
          <w:rFonts w:eastAsia="ヒラギノ角ゴ Pro W3"/>
          <w:sz w:val="28"/>
          <w:szCs w:val="28"/>
          <w:shd w:val="clear" w:color="auto" w:fill="FFFFFF"/>
          <w:lang w:eastAsia="vi-VN"/>
        </w:rPr>
        <w:t>t</w:t>
      </w:r>
      <w:r w:rsidRPr="00C61221">
        <w:rPr>
          <w:rFonts w:eastAsia="ヒラギノ角ゴ Pro W3"/>
          <w:sz w:val="28"/>
          <w:szCs w:val="28"/>
          <w:shd w:val="clear" w:color="auto" w:fill="FFFFFF"/>
          <w:lang w:eastAsia="vi-VN"/>
        </w:rPr>
        <w:t xml:space="preserve">uyên truyền vận động tổ viên THT thành lập </w:t>
      </w:r>
      <w:r w:rsidR="005670D3">
        <w:rPr>
          <w:rFonts w:eastAsia="ヒラギノ角ゴ Pro W3"/>
          <w:sz w:val="28"/>
          <w:szCs w:val="28"/>
          <w:shd w:val="clear" w:color="auto" w:fill="FFFFFF"/>
          <w:lang w:eastAsia="vi-VN"/>
        </w:rPr>
        <w:t>HTX</w:t>
      </w:r>
      <w:r w:rsidRPr="00C61221">
        <w:rPr>
          <w:rFonts w:eastAsia="ヒラギノ角ゴ Pro W3"/>
          <w:sz w:val="28"/>
          <w:szCs w:val="28"/>
          <w:shd w:val="clear" w:color="auto" w:fill="FFFFFF"/>
          <w:lang w:eastAsia="vi-VN"/>
        </w:rPr>
        <w:t>, tham gia vào HTX.</w:t>
      </w:r>
    </w:p>
    <w:p w:rsidR="004517D4" w:rsidRPr="00C61221" w:rsidRDefault="004517D4" w:rsidP="00C61221">
      <w:pPr>
        <w:spacing w:before="60" w:after="60"/>
        <w:ind w:firstLine="567"/>
        <w:jc w:val="both"/>
        <w:outlineLvl w:val="0"/>
        <w:rPr>
          <w:rFonts w:eastAsia="ヒラギノ角ゴ Pro W3"/>
          <w:sz w:val="28"/>
          <w:szCs w:val="28"/>
          <w:lang w:val="zu-ZA" w:eastAsia="vi-VN"/>
        </w:rPr>
      </w:pPr>
      <w:r w:rsidRPr="00C61221">
        <w:rPr>
          <w:rFonts w:eastAsia="ヒラギノ角ゴ Pro W3"/>
          <w:sz w:val="28"/>
          <w:szCs w:val="28"/>
          <w:lang w:val="af-ZA" w:eastAsia="vi-VN"/>
        </w:rPr>
        <w:t xml:space="preserve">Thời gian qua, </w:t>
      </w:r>
      <w:r w:rsidRPr="00C61221">
        <w:rPr>
          <w:rFonts w:eastAsia="ヒラギノ角ゴ Pro W3"/>
          <w:sz w:val="28"/>
          <w:szCs w:val="28"/>
          <w:lang w:val="sv-SE" w:eastAsia="vi-VN"/>
        </w:rPr>
        <w:t>THT luôn được tạo điều kiện tham gia các chính sách hỗ trợ KTTT trên địa bàn Tỉnh. Trong đó:</w:t>
      </w:r>
    </w:p>
    <w:p w:rsidR="004517D4" w:rsidRPr="00C61221" w:rsidRDefault="004517D4" w:rsidP="00C61221">
      <w:pPr>
        <w:spacing w:before="60" w:after="60"/>
        <w:ind w:firstLine="567"/>
        <w:jc w:val="both"/>
        <w:rPr>
          <w:sz w:val="28"/>
          <w:szCs w:val="28"/>
          <w:lang w:val="sv-SE" w:eastAsia="zh-CN"/>
        </w:rPr>
      </w:pPr>
      <w:r w:rsidRPr="00C61221">
        <w:rPr>
          <w:sz w:val="28"/>
          <w:szCs w:val="28"/>
          <w:lang w:val="sv-SE" w:eastAsia="zh-CN"/>
        </w:rPr>
        <w:lastRenderedPageBreak/>
        <w:t>- Chính sách tiếp cận nguồn vốn vay ưu đãi của các TCTD đã góp phần hỗ trợ các THT có nguồn vốn sản xuất kinh doanh. Hiện nay dư nợ cho vay đến cuối năm 2020 là 08 THT, với tổng dư nợ cho vay là 1.052 triệu đồng.</w:t>
      </w:r>
    </w:p>
    <w:p w:rsidR="004517D4" w:rsidRPr="005670D3" w:rsidRDefault="004517D4" w:rsidP="00C61221">
      <w:pPr>
        <w:spacing w:before="60" w:after="60"/>
        <w:ind w:firstLine="567"/>
        <w:jc w:val="both"/>
        <w:rPr>
          <w:sz w:val="28"/>
          <w:szCs w:val="28"/>
          <w:lang w:val="sv-SE" w:eastAsia="zh-CN"/>
        </w:rPr>
      </w:pPr>
      <w:r w:rsidRPr="00C61221">
        <w:rPr>
          <w:sz w:val="28"/>
          <w:szCs w:val="28"/>
          <w:lang w:val="sv-SE" w:eastAsia="zh-CN"/>
        </w:rPr>
        <w:t>- Ngoài ra, THT được tiếp cận các chính sách chung với HTX như: được hỗ trợ ứng dụng, chuyển giao tiến bộ khoa học kỹ thuật và công nghệ thông qua Tỉnh triển khai thực hiện nhiệm vụ khoa học và công nghệ cấp tỉnh; tham gia các chương trình mục tiêu, chương trình phát triển kinh tế</w:t>
      </w:r>
      <w:r w:rsidR="005670D3">
        <w:rPr>
          <w:sz w:val="28"/>
          <w:szCs w:val="28"/>
          <w:lang w:val="sv-SE" w:eastAsia="zh-CN"/>
        </w:rPr>
        <w:t xml:space="preserve"> </w:t>
      </w:r>
      <w:r w:rsidRPr="00C61221">
        <w:rPr>
          <w:sz w:val="28"/>
          <w:szCs w:val="28"/>
          <w:lang w:val="sv-SE" w:eastAsia="zh-CN"/>
        </w:rPr>
        <w:t>-</w:t>
      </w:r>
      <w:r w:rsidR="005670D3">
        <w:rPr>
          <w:sz w:val="28"/>
          <w:szCs w:val="28"/>
          <w:lang w:val="sv-SE" w:eastAsia="zh-CN"/>
        </w:rPr>
        <w:t xml:space="preserve"> </w:t>
      </w:r>
      <w:r w:rsidRPr="00C61221">
        <w:rPr>
          <w:sz w:val="28"/>
          <w:szCs w:val="28"/>
          <w:lang w:val="sv-SE" w:eastAsia="zh-CN"/>
        </w:rPr>
        <w:t>xã hội:</w:t>
      </w:r>
      <w:r w:rsidR="005670D3">
        <w:rPr>
          <w:sz w:val="28"/>
          <w:szCs w:val="28"/>
          <w:lang w:val="sv-SE" w:eastAsia="zh-CN"/>
        </w:rPr>
        <w:t xml:space="preserve"> </w:t>
      </w:r>
      <w:r w:rsidRPr="00C61221">
        <w:rPr>
          <w:sz w:val="28"/>
          <w:szCs w:val="28"/>
          <w:lang w:val="sv-SE" w:eastAsia="zh-CN"/>
        </w:rPr>
        <w:t xml:space="preserve">hỗ trợ vốn mua máy móc, thiết bị phục vụ phát triển sản xuất </w:t>
      </w:r>
      <w:r w:rsidRPr="00C61221">
        <w:rPr>
          <w:sz w:val="28"/>
          <w:szCs w:val="28"/>
          <w:vertAlign w:val="superscript"/>
          <w:lang w:val="sv-SE" w:eastAsia="zh-CN"/>
        </w:rPr>
        <w:t>(</w:t>
      </w:r>
      <w:r w:rsidRPr="00C61221">
        <w:rPr>
          <w:sz w:val="28"/>
          <w:szCs w:val="28"/>
          <w:vertAlign w:val="superscript"/>
          <w:lang w:val="sv-SE" w:eastAsia="zh-CN"/>
        </w:rPr>
        <w:footnoteReference w:id="27"/>
      </w:r>
      <w:r w:rsidRPr="00C61221">
        <w:rPr>
          <w:sz w:val="28"/>
          <w:szCs w:val="28"/>
          <w:vertAlign w:val="superscript"/>
          <w:lang w:val="sv-SE" w:eastAsia="zh-CN"/>
        </w:rPr>
        <w:t>)</w:t>
      </w:r>
      <w:r w:rsidR="005670D3">
        <w:rPr>
          <w:sz w:val="28"/>
          <w:szCs w:val="28"/>
          <w:lang w:val="sv-SE" w:eastAsia="zh-CN"/>
        </w:rPr>
        <w:t>.</w:t>
      </w:r>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val="vi-VN" w:eastAsia="zh-CN"/>
        </w:rPr>
        <w:t>5. Tình hình hợp tác quốc tế</w:t>
      </w:r>
    </w:p>
    <w:p w:rsidR="004517D4" w:rsidRPr="00C61221" w:rsidRDefault="004517D4" w:rsidP="00C61221">
      <w:pPr>
        <w:spacing w:before="60" w:after="60"/>
        <w:ind w:firstLine="567"/>
        <w:jc w:val="both"/>
        <w:rPr>
          <w:sz w:val="28"/>
          <w:szCs w:val="28"/>
          <w:lang w:eastAsia="zh-CN"/>
        </w:rPr>
      </w:pPr>
      <w:bookmarkStart w:id="5" w:name="muc_2"/>
      <w:r w:rsidRPr="00C61221">
        <w:rPr>
          <w:sz w:val="28"/>
          <w:szCs w:val="28"/>
          <w:lang w:eastAsia="zh-CN"/>
        </w:rPr>
        <w:t xml:space="preserve">- </w:t>
      </w:r>
      <w:r w:rsidR="005670D3" w:rsidRPr="00A151EB">
        <w:rPr>
          <w:spacing w:val="-2"/>
          <w:sz w:val="28"/>
          <w:szCs w:val="28"/>
          <w:lang w:eastAsia="zh-CN"/>
        </w:rPr>
        <w:t xml:space="preserve">Giai đoạn </w:t>
      </w:r>
      <w:r w:rsidRPr="00A151EB">
        <w:rPr>
          <w:spacing w:val="-2"/>
          <w:sz w:val="28"/>
          <w:szCs w:val="28"/>
          <w:lang w:eastAsia="zh-CN"/>
        </w:rPr>
        <w:t xml:space="preserve">2013 </w:t>
      </w:r>
      <w:r w:rsidR="005670D3" w:rsidRPr="00A151EB">
        <w:rPr>
          <w:spacing w:val="-2"/>
          <w:sz w:val="28"/>
          <w:szCs w:val="28"/>
          <w:lang w:eastAsia="zh-CN"/>
        </w:rPr>
        <w:t xml:space="preserve">- </w:t>
      </w:r>
      <w:r w:rsidRPr="00A151EB">
        <w:rPr>
          <w:spacing w:val="-2"/>
          <w:sz w:val="28"/>
          <w:szCs w:val="28"/>
          <w:lang w:eastAsia="zh-CN"/>
        </w:rPr>
        <w:t xml:space="preserve">2016, Trung tâm hỗ trợ phát triển HTX, doanh nghiệp vừa và nhỏ Miền Nam (Socencoop); hỗ trợ kỹ thuật từ Quỹ Châu Á (The Asia Foundation), Chính phủ Australia (Australian Government) tài trợ xây dựng Hiệp hội kinh doanh hiệu quả và toàn diện ở Việt Nam chọn 10 HTX để triển khai thực hiện Dự án. Trong thời gian thực hiện Dự án, đã tổ chức </w:t>
      </w:r>
      <w:r w:rsidR="00A151EB">
        <w:rPr>
          <w:spacing w:val="-2"/>
          <w:sz w:val="28"/>
          <w:szCs w:val="28"/>
          <w:lang w:eastAsia="zh-CN"/>
        </w:rPr>
        <w:t>0</w:t>
      </w:r>
      <w:r w:rsidRPr="00A151EB">
        <w:rPr>
          <w:spacing w:val="-2"/>
          <w:sz w:val="28"/>
          <w:szCs w:val="28"/>
          <w:lang w:eastAsia="zh-CN"/>
        </w:rPr>
        <w:t>7 lớp tập huấn, triển khai 8 chuyên đề từ đó đã góp phần tăng cường một số kiến thức về quản lý cho cán bộ HTX. Cuối năm 2016 đã tổ chức tổng kết hiệu quả của Dự án.</w:t>
      </w:r>
    </w:p>
    <w:p w:rsidR="004517D4" w:rsidRPr="00C61221" w:rsidRDefault="004517D4" w:rsidP="00C61221">
      <w:pPr>
        <w:spacing w:before="60" w:after="60"/>
        <w:ind w:firstLine="567"/>
        <w:jc w:val="both"/>
        <w:rPr>
          <w:sz w:val="28"/>
          <w:szCs w:val="28"/>
          <w:lang w:eastAsia="zh-CN"/>
        </w:rPr>
      </w:pPr>
      <w:r w:rsidRPr="00A151EB">
        <w:rPr>
          <w:sz w:val="28"/>
          <w:szCs w:val="28"/>
          <w:lang w:eastAsia="zh-CN"/>
        </w:rPr>
        <w:t>-</w:t>
      </w:r>
      <w:r w:rsidRPr="00C61221">
        <w:rPr>
          <w:b/>
          <w:sz w:val="28"/>
          <w:szCs w:val="28"/>
          <w:lang w:eastAsia="zh-CN"/>
        </w:rPr>
        <w:t xml:space="preserve"> </w:t>
      </w:r>
      <w:r w:rsidRPr="00F87243">
        <w:rPr>
          <w:spacing w:val="-2"/>
          <w:sz w:val="28"/>
          <w:szCs w:val="28"/>
          <w:lang w:eastAsia="zh-CN"/>
        </w:rPr>
        <w:t xml:space="preserve">Nhằm tăng cường năng lực kinh doanh của các HTX và phát triển dịch vụ cung cấp cho xã viên và nông dân trong </w:t>
      </w:r>
      <w:r w:rsidRPr="00F87243">
        <w:rPr>
          <w:spacing w:val="-2"/>
          <w:sz w:val="28"/>
          <w:szCs w:val="28"/>
          <w:lang w:val="fr-FR" w:eastAsia="zh-CN"/>
        </w:rPr>
        <w:t xml:space="preserve">trên tỉnh Đồng Tháp, </w:t>
      </w:r>
      <w:r w:rsidRPr="00F87243">
        <w:rPr>
          <w:spacing w:val="-2"/>
          <w:sz w:val="28"/>
          <w:szCs w:val="28"/>
          <w:lang w:eastAsia="zh-CN"/>
        </w:rPr>
        <w:t>Trung tâm hợp tác xã Thụy Điển (We Effect) đã tiếp tục giai đoạn 2 (từ năm 2013</w:t>
      </w:r>
      <w:r w:rsidR="00A151EB" w:rsidRPr="00F87243">
        <w:rPr>
          <w:spacing w:val="-2"/>
          <w:sz w:val="28"/>
          <w:szCs w:val="28"/>
          <w:lang w:eastAsia="zh-CN"/>
        </w:rPr>
        <w:t xml:space="preserve"> </w:t>
      </w:r>
      <w:r w:rsidRPr="00F87243">
        <w:rPr>
          <w:spacing w:val="-2"/>
          <w:sz w:val="28"/>
          <w:szCs w:val="28"/>
          <w:lang w:eastAsia="zh-CN"/>
        </w:rPr>
        <w:t>-</w:t>
      </w:r>
      <w:r w:rsidR="00A151EB" w:rsidRPr="00F87243">
        <w:rPr>
          <w:spacing w:val="-2"/>
          <w:sz w:val="28"/>
          <w:szCs w:val="28"/>
          <w:lang w:eastAsia="zh-CN"/>
        </w:rPr>
        <w:t xml:space="preserve"> </w:t>
      </w:r>
      <w:r w:rsidRPr="00F87243">
        <w:rPr>
          <w:spacing w:val="-2"/>
          <w:sz w:val="28"/>
          <w:szCs w:val="28"/>
          <w:lang w:eastAsia="zh-CN"/>
        </w:rPr>
        <w:t>2016) lựa chọn 10 HTX thụ hưởng từ Dự án với kinh phí là 5.789 triệu đồng.</w:t>
      </w:r>
      <w:r w:rsidR="00A151EB" w:rsidRPr="00F87243">
        <w:rPr>
          <w:spacing w:val="-2"/>
          <w:sz w:val="28"/>
          <w:szCs w:val="28"/>
          <w:lang w:eastAsia="zh-CN"/>
        </w:rPr>
        <w:t xml:space="preserve"> </w:t>
      </w:r>
      <w:r w:rsidRPr="00F87243">
        <w:rPr>
          <w:spacing w:val="-2"/>
          <w:sz w:val="28"/>
          <w:szCs w:val="28"/>
          <w:lang w:eastAsia="zh-CN"/>
        </w:rPr>
        <w:t xml:space="preserve">Thông qua tổ chức các lớp tập huấn về công tác quản lý cho cán bộ quản lý </w:t>
      </w:r>
      <w:r w:rsidR="00A151EB" w:rsidRPr="00F87243">
        <w:rPr>
          <w:spacing w:val="-2"/>
          <w:sz w:val="28"/>
          <w:szCs w:val="28"/>
          <w:lang w:eastAsia="zh-CN"/>
        </w:rPr>
        <w:t>HTX</w:t>
      </w:r>
      <w:r w:rsidRPr="00F87243">
        <w:rPr>
          <w:spacing w:val="-2"/>
          <w:sz w:val="28"/>
          <w:szCs w:val="28"/>
          <w:lang w:eastAsia="zh-CN"/>
        </w:rPr>
        <w:t xml:space="preserve">, đào tạo nghề, hướng dẫn kỹ thuật cho thành viên, xây dựng mô hình mới, phát triển dịch vụ 10 HTX mục tiêu được hỗ trợ phát triển về năng lực quản lý của cán bộ HTX. Thành viên </w:t>
      </w:r>
      <w:r w:rsidR="00A151EB" w:rsidRPr="00F87243">
        <w:rPr>
          <w:spacing w:val="-2"/>
          <w:sz w:val="28"/>
          <w:szCs w:val="28"/>
          <w:lang w:eastAsia="zh-CN"/>
        </w:rPr>
        <w:t>HTX</w:t>
      </w:r>
      <w:r w:rsidRPr="00F87243">
        <w:rPr>
          <w:spacing w:val="-2"/>
          <w:sz w:val="28"/>
          <w:szCs w:val="28"/>
          <w:lang w:eastAsia="zh-CN"/>
        </w:rPr>
        <w:t xml:space="preserve"> nâng cao tay nghề, kỹ thuật lao động. </w:t>
      </w:r>
      <w:r w:rsidR="00A151EB" w:rsidRPr="00F87243">
        <w:rPr>
          <w:spacing w:val="-2"/>
          <w:sz w:val="28"/>
          <w:szCs w:val="28"/>
          <w:lang w:eastAsia="zh-CN"/>
        </w:rPr>
        <w:t>HTX</w:t>
      </w:r>
      <w:r w:rsidRPr="00F87243">
        <w:rPr>
          <w:spacing w:val="-2"/>
          <w:sz w:val="28"/>
          <w:szCs w:val="28"/>
          <w:lang w:eastAsia="zh-CN"/>
        </w:rPr>
        <w:t xml:space="preserve"> phát triển thêm ngành nghề, dịch vụ. Giải quyết thêm việc làm cho thành viên, nhất là lao động nữ.</w:t>
      </w:r>
    </w:p>
    <w:p w:rsidR="004517D4" w:rsidRPr="00C61221" w:rsidRDefault="004517D4" w:rsidP="00C61221">
      <w:pPr>
        <w:spacing w:before="60" w:after="60"/>
        <w:ind w:firstLine="567"/>
        <w:jc w:val="both"/>
        <w:rPr>
          <w:sz w:val="28"/>
          <w:szCs w:val="28"/>
          <w:lang w:val="sv-SE" w:eastAsia="zh-CN"/>
        </w:rPr>
      </w:pPr>
      <w:r w:rsidRPr="00C61221">
        <w:rPr>
          <w:sz w:val="28"/>
          <w:szCs w:val="28"/>
          <w:lang w:val="sv-SE" w:eastAsia="zh-CN"/>
        </w:rPr>
        <w:t>- Thông qua Dự án chuyển đổi nông nghiệp bền vững (VnSAT) do Ngân hàng Thế giới tài trợ, các HTX, tổ chức nông dân được tập huấn 03 giảm 03 tăng, 01 phải 05 giảm trong sản xuất.</w:t>
      </w:r>
    </w:p>
    <w:p w:rsidR="004517D4" w:rsidRPr="00C61221" w:rsidRDefault="004517D4" w:rsidP="00C61221">
      <w:pPr>
        <w:spacing w:before="60" w:after="60"/>
        <w:ind w:firstLine="709"/>
        <w:jc w:val="both"/>
        <w:rPr>
          <w:sz w:val="28"/>
          <w:szCs w:val="28"/>
          <w:lang w:val="sv-SE" w:eastAsia="zh-CN"/>
        </w:rPr>
      </w:pPr>
      <w:r w:rsidRPr="00C61221">
        <w:rPr>
          <w:sz w:val="28"/>
          <w:szCs w:val="28"/>
          <w:lang w:val="sv-SE" w:eastAsia="zh-CN"/>
        </w:rPr>
        <w:t xml:space="preserve">- Hiện nay, Tỉnh tiếp tục triển khai dự án Phát triển chuỗi giá trị lúa gạo bền vững và bao trùm nông hộ nhỏ, giai đoạn 2018 - 2021 (phối hợp với Tổ chức Rikolto) và </w:t>
      </w:r>
      <w:r w:rsidR="00F87243">
        <w:rPr>
          <w:sz w:val="28"/>
          <w:szCs w:val="28"/>
          <w:lang w:val="sv-SE" w:eastAsia="zh-CN"/>
        </w:rPr>
        <w:t xml:space="preserve">Dự án </w:t>
      </w:r>
      <w:r w:rsidRPr="00C61221">
        <w:rPr>
          <w:sz w:val="28"/>
          <w:szCs w:val="28"/>
          <w:lang w:val="sv-SE" w:eastAsia="zh-CN"/>
        </w:rPr>
        <w:t xml:space="preserve">Liên kết thị trường cho nông hộ sản xuất nhỏ - Sáng kiến lúa gạo Châu Á giai đoạn 2 (phối hợp với Cục Kinh tế hợp tác và </w:t>
      </w:r>
      <w:r w:rsidR="00F87243">
        <w:rPr>
          <w:sz w:val="28"/>
          <w:szCs w:val="28"/>
          <w:lang w:val="sv-SE" w:eastAsia="zh-CN"/>
        </w:rPr>
        <w:t>PTNT</w:t>
      </w:r>
      <w:r w:rsidRPr="00C61221">
        <w:rPr>
          <w:sz w:val="28"/>
          <w:szCs w:val="28"/>
          <w:lang w:val="sv-SE" w:eastAsia="zh-CN"/>
        </w:rPr>
        <w:t xml:space="preserve"> và Tổ chức GIZ). HTX </w:t>
      </w:r>
      <w:r w:rsidRPr="00C61221">
        <w:rPr>
          <w:sz w:val="28"/>
          <w:szCs w:val="28"/>
          <w:lang w:val="vi-VN" w:eastAsia="zh-CN"/>
        </w:rPr>
        <w:t xml:space="preserve">tham gia các dự án </w:t>
      </w:r>
      <w:r w:rsidRPr="00C61221">
        <w:rPr>
          <w:sz w:val="28"/>
          <w:szCs w:val="28"/>
          <w:lang w:val="sv-SE" w:eastAsia="zh-CN"/>
        </w:rPr>
        <w:t xml:space="preserve">được hỗ trợ tập huấn tiêu chuẩn sản xuất lúa theo chuẩn SRP, hướng dẫn viết </w:t>
      </w:r>
      <w:r w:rsidRPr="00C61221">
        <w:rPr>
          <w:sz w:val="28"/>
          <w:szCs w:val="28"/>
          <w:lang w:val="vi-VN" w:eastAsia="zh-CN"/>
        </w:rPr>
        <w:t>sổ</w:t>
      </w:r>
      <w:r w:rsidRPr="00C61221">
        <w:rPr>
          <w:sz w:val="28"/>
          <w:szCs w:val="28"/>
          <w:lang w:val="sv-SE" w:eastAsia="zh-CN"/>
        </w:rPr>
        <w:t xml:space="preserve"> nhật ký đồng ruộng và </w:t>
      </w:r>
      <w:r w:rsidRPr="00C61221">
        <w:rPr>
          <w:sz w:val="28"/>
          <w:szCs w:val="28"/>
          <w:lang w:val="vi-VN" w:eastAsia="zh-CN"/>
        </w:rPr>
        <w:t>tổ chức tổ chức các buổi Hội thảo, Hội nghị kết nối tiêu thụ nông sản với các doanh nghiệp.</w:t>
      </w:r>
    </w:p>
    <w:p w:rsidR="004517D4" w:rsidRPr="00C61221" w:rsidRDefault="004517D4" w:rsidP="00C61221">
      <w:pPr>
        <w:spacing w:before="60" w:after="60"/>
        <w:ind w:firstLine="709"/>
        <w:jc w:val="both"/>
        <w:rPr>
          <w:sz w:val="28"/>
          <w:szCs w:val="28"/>
          <w:lang w:val="sv-SE" w:eastAsia="zh-CN"/>
        </w:rPr>
      </w:pPr>
      <w:r w:rsidRPr="00C61221">
        <w:rPr>
          <w:sz w:val="28"/>
          <w:szCs w:val="28"/>
          <w:lang w:val="sv-SE" w:eastAsia="zh-CN"/>
        </w:rPr>
        <w:t xml:space="preserve">- Phối hợp Cục Kinh tế hợp tác và </w:t>
      </w:r>
      <w:r w:rsidR="00F87243">
        <w:rPr>
          <w:sz w:val="28"/>
          <w:szCs w:val="28"/>
          <w:lang w:val="sv-SE" w:eastAsia="zh-CN"/>
        </w:rPr>
        <w:t>PTNT</w:t>
      </w:r>
      <w:r w:rsidRPr="00C61221">
        <w:rPr>
          <w:sz w:val="28"/>
          <w:szCs w:val="28"/>
          <w:lang w:val="sv-SE" w:eastAsia="zh-CN"/>
        </w:rPr>
        <w:t xml:space="preserve"> xây dựng Đề án Phát triển vùng nguyên liệu cây ăn trái vùng Đồng Tháp Mười phục vụ chế biến và xuất khẩu giai đoạn 2021-2025 tại Đồng Tháp. Mục tiêu của đề án là hình thành vùng nguyên liệu cây ăn trái tập trung, quy mô lớn, hiện đại, ứng dụng công nghệ tiên tiến tạo mối liên kết hợp tác giữa HTX với HTX, giữa HTX với doanh nghiệp và giữa doanh nghiệp với doanh nghiệp trong sản xuất, chế biến và tiêu thụ sản phẩm nông sản phát triển bền vững. </w:t>
      </w:r>
    </w:p>
    <w:p w:rsidR="004517D4" w:rsidRPr="00C61221" w:rsidRDefault="004517D4" w:rsidP="00C61221">
      <w:pPr>
        <w:spacing w:before="60" w:after="60"/>
        <w:ind w:firstLine="567"/>
        <w:jc w:val="both"/>
        <w:rPr>
          <w:sz w:val="28"/>
          <w:szCs w:val="28"/>
          <w:lang w:eastAsia="zh-CN"/>
        </w:rPr>
      </w:pPr>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val="vi-VN" w:eastAsia="zh-CN"/>
        </w:rPr>
        <w:lastRenderedPageBreak/>
        <w:t>II. TÌNH HÌNH PHÁT TRIỂN KTTT, HTX TỪ KHI LUẬT HTX NĂM 2012 CÓ HIỆU LỰC THI HÀNH</w:t>
      </w:r>
      <w:bookmarkEnd w:id="5"/>
    </w:p>
    <w:p w:rsidR="004517D4" w:rsidRPr="00C61221" w:rsidRDefault="004517D4" w:rsidP="00C61221">
      <w:pPr>
        <w:tabs>
          <w:tab w:val="left" w:pos="709"/>
        </w:tabs>
        <w:spacing w:before="60" w:after="60"/>
        <w:ind w:firstLine="567"/>
        <w:jc w:val="both"/>
        <w:rPr>
          <w:b/>
          <w:sz w:val="28"/>
          <w:szCs w:val="28"/>
          <w:lang w:eastAsia="zh-CN"/>
        </w:rPr>
      </w:pPr>
      <w:r w:rsidRPr="00C61221">
        <w:rPr>
          <w:b/>
          <w:sz w:val="28"/>
          <w:szCs w:val="28"/>
          <w:lang w:eastAsia="zh-CN"/>
        </w:rPr>
        <w:t xml:space="preserve">1. Tình hình phát triển các lĩnh vực </w:t>
      </w:r>
      <w:r w:rsidR="00F87243">
        <w:rPr>
          <w:b/>
          <w:sz w:val="28"/>
          <w:szCs w:val="28"/>
          <w:lang w:eastAsia="zh-CN"/>
        </w:rPr>
        <w:t>HTX</w:t>
      </w:r>
    </w:p>
    <w:p w:rsidR="004517D4" w:rsidRPr="00C61221" w:rsidRDefault="004517D4" w:rsidP="00C61221">
      <w:pPr>
        <w:tabs>
          <w:tab w:val="left" w:pos="709"/>
        </w:tabs>
        <w:spacing w:before="60" w:after="60"/>
        <w:ind w:firstLine="567"/>
        <w:jc w:val="both"/>
        <w:rPr>
          <w:i/>
          <w:sz w:val="28"/>
          <w:szCs w:val="28"/>
          <w:lang w:eastAsia="zh-CN"/>
        </w:rPr>
      </w:pPr>
      <w:r w:rsidRPr="00C61221">
        <w:rPr>
          <w:i/>
          <w:sz w:val="28"/>
          <w:szCs w:val="28"/>
          <w:lang w:eastAsia="zh-CN"/>
        </w:rPr>
        <w:t xml:space="preserve">(1) KTTT, HTX hoạt </w:t>
      </w:r>
      <w:r w:rsidR="00F87243">
        <w:rPr>
          <w:i/>
          <w:sz w:val="28"/>
          <w:szCs w:val="28"/>
          <w:lang w:eastAsia="zh-CN"/>
        </w:rPr>
        <w:t>động trong lĩnh vực nông nghiệp</w:t>
      </w:r>
    </w:p>
    <w:p w:rsidR="004A3212" w:rsidRDefault="004A3212" w:rsidP="00C61221">
      <w:pPr>
        <w:spacing w:before="60" w:after="60"/>
        <w:ind w:firstLine="567"/>
        <w:jc w:val="both"/>
        <w:rPr>
          <w:rFonts w:eastAsia="Calibri"/>
          <w:bCs/>
          <w:sz w:val="28"/>
          <w:szCs w:val="28"/>
          <w:lang w:val="vi-VN" w:eastAsia="zh-CN"/>
        </w:rPr>
      </w:pPr>
      <w:r w:rsidRPr="004A3212">
        <w:rPr>
          <w:rFonts w:eastAsia="Calibri"/>
          <w:bCs/>
          <w:sz w:val="28"/>
          <w:szCs w:val="28"/>
          <w:lang w:val="vi-VN" w:eastAsia="zh-CN"/>
        </w:rPr>
        <w:t>Đến tháng 9/2021, toàn Tỉnh có 178 HTXNN. Ước đến cuối năm 2021, có 185 HTXNN (tăng 105 HTXNN so với cuối năm 2001, tương đương tăng 131,25% so với năm 2001, trong đó, có khoảng 65% số HTXNN hoạt hiệu quả, 05 HTXNN đang ngưng hoạt động và làm thủ tục giải thể). Tổng số thành viên là 29.192 thành viên (tăng 16.298 thành viên so với năm 2001), bình quân 164 thành viên/HTXNN, tổng diện tích đất canh tác được HTXNN cung cấp dịch vụ là 48.060 ha (tăng 30.060 ha so với năm 2001), bình quân 270 ha/HTX. Doanh thu bình quân 01 HTXNN năm 2021 là 2.173 triệu đồng (tăng 1.973 triệu đồng so năm 2001). Lãi bình quân 01 HTX là 267 triệu đồng (tăng 230 triệu đồng so với năm 2001). Cụ thể: có 41 HTXNN hoạt động 01 dịch vụ chiếm 23,3%, chủ yếu là dịch vụ tưới tiêu; 44 HTXNN hoạt động 02 dịch vụ chiếm 25%; 23 HTXNN hoạt động 03 dịch vụ chiếm 13%; 23 HTXNN hoạt động 04 dịch vụ chiếm 13%; 45 HTXNN hoạt động 05 dịch vụ trở lên chiếm 25,6%.</w:t>
      </w:r>
    </w:p>
    <w:p w:rsidR="004517D4" w:rsidRPr="00C61221" w:rsidRDefault="004517D4" w:rsidP="00C61221">
      <w:pPr>
        <w:spacing w:before="60" w:after="60"/>
        <w:ind w:firstLine="567"/>
        <w:jc w:val="both"/>
        <w:rPr>
          <w:rFonts w:eastAsia="Calibri"/>
          <w:sz w:val="28"/>
          <w:szCs w:val="28"/>
        </w:rPr>
      </w:pPr>
      <w:r w:rsidRPr="00C61221">
        <w:rPr>
          <w:rFonts w:eastAsia="Calibri"/>
          <w:sz w:val="28"/>
          <w:szCs w:val="28"/>
        </w:rPr>
        <w:t xml:space="preserve">Phần lớn các HTXNN chủ động trong hoạt động kinh doanh; mở rộng thêm nhiều dịch vụ phục vụ thành viên như sản xuất nước uống đóng chai, chế biến gạo cung ứng cho thành viên, xây dựng quầy kinh doanh nông sản an toàn để tiêu thụ sản phẩm an toàn cho HTX sản xuất và các HTX, THT trong và ngoài địa phương sản xuất thông qua liên kết, hợp tác với nhau trong tiêu thụ sản phẩm; tăng cường liên kết với các doanh nghiệp nhằm cung cấp vật tư nông nghiệp đầu vào và tiêu thụ sản phẩm đầu ra cho thành viên và nông dân tham gia. HTXNN hoạt động hiệu quả là nhân tố tích cực, tác động rất lớn đến quá trình xây dựng nông thôn mới và tái cơ cấu ngành nông nghiệp của tỉnh </w:t>
      </w:r>
    </w:p>
    <w:p w:rsidR="004517D4" w:rsidRPr="00C61221" w:rsidRDefault="004517D4" w:rsidP="00C61221">
      <w:pPr>
        <w:tabs>
          <w:tab w:val="left" w:pos="709"/>
        </w:tabs>
        <w:spacing w:before="60" w:after="60"/>
        <w:ind w:firstLine="567"/>
        <w:jc w:val="both"/>
        <w:rPr>
          <w:i/>
          <w:sz w:val="28"/>
          <w:szCs w:val="28"/>
          <w:lang w:eastAsia="zh-CN"/>
        </w:rPr>
      </w:pPr>
      <w:r w:rsidRPr="00C61221">
        <w:rPr>
          <w:i/>
          <w:sz w:val="28"/>
          <w:szCs w:val="28"/>
          <w:lang w:eastAsia="zh-CN"/>
        </w:rPr>
        <w:t>(2</w:t>
      </w:r>
      <w:r w:rsidRPr="001D6402">
        <w:rPr>
          <w:i/>
          <w:spacing w:val="-4"/>
          <w:sz w:val="28"/>
          <w:szCs w:val="28"/>
          <w:lang w:eastAsia="zh-CN"/>
        </w:rPr>
        <w:t>) KTTT, HTX hoạt động trong lĩnh vực côn</w:t>
      </w:r>
      <w:r w:rsidR="001D6402" w:rsidRPr="001D6402">
        <w:rPr>
          <w:i/>
          <w:spacing w:val="-4"/>
          <w:sz w:val="28"/>
          <w:szCs w:val="28"/>
          <w:lang w:eastAsia="zh-CN"/>
        </w:rPr>
        <w:t>g nghiệp - tiểu thủ công nghiệp</w:t>
      </w:r>
    </w:p>
    <w:p w:rsidR="004517D4" w:rsidRPr="00C61221" w:rsidRDefault="004517D4" w:rsidP="00C61221">
      <w:pPr>
        <w:tabs>
          <w:tab w:val="left" w:pos="709"/>
        </w:tabs>
        <w:spacing w:before="60" w:after="60"/>
        <w:ind w:firstLine="567"/>
        <w:jc w:val="both"/>
        <w:rPr>
          <w:rFonts w:eastAsia="Calibri"/>
          <w:bCs/>
          <w:sz w:val="28"/>
          <w:szCs w:val="28"/>
          <w:lang w:val="zu-ZA" w:eastAsia="zh-CN"/>
        </w:rPr>
      </w:pPr>
      <w:r w:rsidRPr="00C61221">
        <w:rPr>
          <w:rFonts w:eastAsia="NanumGothic"/>
          <w:sz w:val="28"/>
          <w:szCs w:val="28"/>
          <w:lang w:eastAsia="zh-CN"/>
        </w:rPr>
        <w:t>Toàn Tỉnh c</w:t>
      </w:r>
      <w:r w:rsidRPr="00C61221">
        <w:rPr>
          <w:rFonts w:eastAsia="NanumGothic"/>
          <w:sz w:val="28"/>
          <w:szCs w:val="28"/>
          <w:lang w:val="vi-VN" w:eastAsia="zh-CN"/>
        </w:rPr>
        <w:t xml:space="preserve">ó </w:t>
      </w:r>
      <w:r w:rsidRPr="001D6402">
        <w:rPr>
          <w:rFonts w:eastAsia="NanumGothic"/>
          <w:sz w:val="28"/>
          <w:szCs w:val="28"/>
          <w:lang w:val="vi-VN" w:eastAsia="zh-CN"/>
        </w:rPr>
        <w:t>0</w:t>
      </w:r>
      <w:r w:rsidRPr="001D6402">
        <w:rPr>
          <w:rFonts w:eastAsia="NanumGothic"/>
          <w:sz w:val="28"/>
          <w:szCs w:val="28"/>
          <w:lang w:eastAsia="zh-CN"/>
        </w:rPr>
        <w:t>2</w:t>
      </w:r>
      <w:r w:rsidR="00AB6AFA">
        <w:rPr>
          <w:rFonts w:eastAsia="NanumGothic"/>
          <w:sz w:val="28"/>
          <w:szCs w:val="28"/>
          <w:lang w:eastAsia="zh-CN"/>
        </w:rPr>
        <w:t xml:space="preserve"> </w:t>
      </w:r>
      <w:r w:rsidRPr="00C61221">
        <w:rPr>
          <w:rFonts w:eastAsia="NanumGothic"/>
          <w:b/>
          <w:sz w:val="28"/>
          <w:szCs w:val="28"/>
          <w:vertAlign w:val="superscript"/>
          <w:lang w:eastAsia="zh-CN"/>
        </w:rPr>
        <w:t>(</w:t>
      </w:r>
      <w:r w:rsidRPr="00C61221">
        <w:rPr>
          <w:rFonts w:eastAsia="NanumGothic"/>
          <w:sz w:val="28"/>
          <w:szCs w:val="28"/>
          <w:vertAlign w:val="superscript"/>
          <w:lang w:eastAsia="zh-CN"/>
        </w:rPr>
        <w:footnoteReference w:id="28"/>
      </w:r>
      <w:r w:rsidRPr="00C61221">
        <w:rPr>
          <w:rFonts w:eastAsia="NanumGothic"/>
          <w:b/>
          <w:sz w:val="28"/>
          <w:szCs w:val="28"/>
          <w:vertAlign w:val="superscript"/>
          <w:lang w:eastAsia="zh-CN"/>
        </w:rPr>
        <w:t>)</w:t>
      </w:r>
      <w:r w:rsidRPr="00C61221">
        <w:rPr>
          <w:rFonts w:eastAsia="NanumGothic"/>
          <w:b/>
          <w:sz w:val="28"/>
          <w:szCs w:val="28"/>
          <w:lang w:eastAsia="zh-CN"/>
        </w:rPr>
        <w:t xml:space="preserve"> </w:t>
      </w:r>
      <w:r w:rsidRPr="00C61221">
        <w:rPr>
          <w:bCs/>
          <w:spacing w:val="-2"/>
          <w:sz w:val="28"/>
          <w:szCs w:val="28"/>
          <w:lang w:val="zu-ZA" w:eastAsia="zh-CN"/>
        </w:rPr>
        <w:t>HTX</w:t>
      </w:r>
      <w:r w:rsidRPr="00C61221">
        <w:rPr>
          <w:rFonts w:eastAsia="NanumGothic"/>
          <w:sz w:val="28"/>
          <w:szCs w:val="28"/>
          <w:lang w:val="vi-VN" w:eastAsia="zh-CN"/>
        </w:rPr>
        <w:t xml:space="preserve"> đang hoạt động,</w:t>
      </w:r>
      <w:r w:rsidRPr="00C61221">
        <w:rPr>
          <w:rFonts w:eastAsia="NanumGothic"/>
          <w:sz w:val="28"/>
          <w:szCs w:val="28"/>
          <w:lang w:eastAsia="zh-CN"/>
        </w:rPr>
        <w:t xml:space="preserve"> t</w:t>
      </w:r>
      <w:r w:rsidRPr="00C61221">
        <w:rPr>
          <w:rFonts w:eastAsia="Calibri"/>
          <w:sz w:val="28"/>
          <w:szCs w:val="28"/>
          <w:lang w:val="vi-VN" w:eastAsia="zh-CN"/>
        </w:rPr>
        <w:t>ổng số thành viên là</w:t>
      </w:r>
      <w:r w:rsidRPr="001D6402">
        <w:rPr>
          <w:rFonts w:eastAsia="Calibri"/>
          <w:sz w:val="28"/>
          <w:szCs w:val="28"/>
          <w:lang w:val="vi-VN" w:eastAsia="zh-CN"/>
        </w:rPr>
        <w:t xml:space="preserve"> </w:t>
      </w:r>
      <w:r w:rsidRPr="001D6402">
        <w:rPr>
          <w:rFonts w:eastAsia="Calibri"/>
          <w:sz w:val="28"/>
          <w:szCs w:val="28"/>
          <w:lang w:eastAsia="zh-CN"/>
        </w:rPr>
        <w:t>33</w:t>
      </w:r>
      <w:r w:rsidRPr="00C61221">
        <w:rPr>
          <w:rFonts w:eastAsia="Calibri"/>
          <w:b/>
          <w:sz w:val="28"/>
          <w:szCs w:val="28"/>
          <w:lang w:eastAsia="zh-CN"/>
        </w:rPr>
        <w:t xml:space="preserve"> </w:t>
      </w:r>
      <w:r w:rsidRPr="00C61221">
        <w:rPr>
          <w:rFonts w:eastAsia="Calibri"/>
          <w:sz w:val="28"/>
          <w:szCs w:val="28"/>
          <w:lang w:val="vi-VN" w:eastAsia="zh-CN"/>
        </w:rPr>
        <w:t>thành viên</w:t>
      </w:r>
      <w:r w:rsidRPr="00C61221">
        <w:rPr>
          <w:rFonts w:eastAsia="Calibri"/>
          <w:sz w:val="28"/>
          <w:szCs w:val="28"/>
          <w:lang w:eastAsia="zh-CN"/>
        </w:rPr>
        <w:t>,</w:t>
      </w:r>
      <w:r w:rsidRPr="00C61221">
        <w:rPr>
          <w:rFonts w:eastAsia="Calibri"/>
          <w:sz w:val="28"/>
          <w:szCs w:val="28"/>
          <w:lang w:val="vi-VN" w:eastAsia="zh-CN"/>
        </w:rPr>
        <w:t xml:space="preserve"> vốn điều lệ là </w:t>
      </w:r>
      <w:r w:rsidR="00AB6AFA">
        <w:rPr>
          <w:rFonts w:eastAsia="Calibri"/>
          <w:sz w:val="28"/>
          <w:szCs w:val="28"/>
          <w:lang w:eastAsia="zh-CN"/>
        </w:rPr>
        <w:t>560</w:t>
      </w:r>
      <w:r w:rsidRPr="001D6402">
        <w:rPr>
          <w:rFonts w:eastAsia="Calibri"/>
          <w:sz w:val="28"/>
          <w:szCs w:val="28"/>
          <w:lang w:eastAsia="zh-CN"/>
        </w:rPr>
        <w:t xml:space="preserve"> triệu</w:t>
      </w:r>
      <w:r w:rsidRPr="001D6402">
        <w:rPr>
          <w:rFonts w:eastAsia="Calibri"/>
          <w:sz w:val="28"/>
          <w:szCs w:val="28"/>
          <w:lang w:val="vi-VN" w:eastAsia="zh-CN"/>
        </w:rPr>
        <w:t xml:space="preserve"> đồng</w:t>
      </w:r>
      <w:r w:rsidRPr="001D6402">
        <w:rPr>
          <w:rFonts w:eastAsia="Calibri"/>
          <w:sz w:val="28"/>
          <w:szCs w:val="28"/>
          <w:lang w:eastAsia="zh-CN"/>
        </w:rPr>
        <w:t xml:space="preserve">, </w:t>
      </w:r>
      <w:r w:rsidRPr="001D6402">
        <w:rPr>
          <w:rFonts w:eastAsia="NanumGothic"/>
          <w:sz w:val="28"/>
          <w:szCs w:val="28"/>
          <w:lang w:val="vi-VN" w:eastAsia="zh-CN"/>
        </w:rPr>
        <w:t xml:space="preserve">chiếm </w:t>
      </w:r>
      <w:r w:rsidRPr="001D6402">
        <w:rPr>
          <w:rFonts w:eastAsia="NanumGothic"/>
          <w:spacing w:val="-4"/>
          <w:sz w:val="28"/>
          <w:szCs w:val="28"/>
          <w:lang w:val="zu-ZA" w:eastAsia="zh-CN"/>
        </w:rPr>
        <w:t>hơn 1%.</w:t>
      </w:r>
      <w:r w:rsidR="001D6402">
        <w:rPr>
          <w:rFonts w:eastAsia="NanumGothic"/>
          <w:spacing w:val="-4"/>
          <w:sz w:val="28"/>
          <w:szCs w:val="28"/>
          <w:lang w:val="zu-ZA" w:eastAsia="zh-CN"/>
        </w:rPr>
        <w:t xml:space="preserve"> </w:t>
      </w:r>
      <w:r w:rsidRPr="00C61221">
        <w:rPr>
          <w:rFonts w:eastAsia="NanumGothic"/>
          <w:sz w:val="28"/>
          <w:szCs w:val="28"/>
          <w:lang w:eastAsia="zh-CN"/>
        </w:rPr>
        <w:t>C</w:t>
      </w:r>
      <w:r w:rsidRPr="00C61221">
        <w:rPr>
          <w:rFonts w:eastAsia="NanumGothic"/>
          <w:sz w:val="28"/>
          <w:szCs w:val="28"/>
          <w:lang w:val="zu-ZA" w:eastAsia="zh-CN"/>
        </w:rPr>
        <w:t xml:space="preserve">hất lượng </w:t>
      </w:r>
      <w:r w:rsidRPr="00C61221">
        <w:rPr>
          <w:rFonts w:eastAsia="NanumGothic"/>
          <w:sz w:val="28"/>
          <w:szCs w:val="28"/>
          <w:lang w:val="vi-VN" w:eastAsia="zh-CN"/>
        </w:rPr>
        <w:t xml:space="preserve">các </w:t>
      </w:r>
      <w:r w:rsidRPr="00C61221">
        <w:rPr>
          <w:bCs/>
          <w:spacing w:val="-2"/>
          <w:sz w:val="28"/>
          <w:szCs w:val="28"/>
          <w:lang w:val="zu-ZA" w:eastAsia="zh-CN"/>
        </w:rPr>
        <w:t>HTX</w:t>
      </w:r>
      <w:r w:rsidRPr="00C61221">
        <w:rPr>
          <w:rFonts w:eastAsia="Calibri"/>
          <w:sz w:val="28"/>
          <w:szCs w:val="28"/>
          <w:lang w:val="vi-VN" w:eastAsia="zh-CN"/>
        </w:rPr>
        <w:t xml:space="preserve"> từng bước</w:t>
      </w:r>
      <w:r w:rsidRPr="00C61221">
        <w:rPr>
          <w:rFonts w:eastAsia="Calibri"/>
          <w:bCs/>
          <w:sz w:val="28"/>
          <w:szCs w:val="28"/>
          <w:lang w:val="vi-VN" w:eastAsia="zh-CN"/>
        </w:rPr>
        <w:t xml:space="preserve"> được nâng lên, quy mô sản xuất </w:t>
      </w:r>
      <w:r w:rsidRPr="00C61221">
        <w:rPr>
          <w:rFonts w:eastAsia="Calibri"/>
          <w:bCs/>
          <w:sz w:val="28"/>
          <w:szCs w:val="28"/>
          <w:lang w:val="zu-ZA" w:eastAsia="zh-CN"/>
        </w:rPr>
        <w:t xml:space="preserve">được </w:t>
      </w:r>
      <w:r w:rsidRPr="00C61221">
        <w:rPr>
          <w:rFonts w:eastAsia="Calibri"/>
          <w:bCs/>
          <w:sz w:val="28"/>
          <w:szCs w:val="28"/>
          <w:lang w:val="vi-VN" w:eastAsia="zh-CN"/>
        </w:rPr>
        <w:t>mở rộng,</w:t>
      </w:r>
      <w:r w:rsidRPr="00C61221">
        <w:rPr>
          <w:sz w:val="28"/>
          <w:szCs w:val="28"/>
          <w:lang w:eastAsia="zh-CN"/>
        </w:rPr>
        <w:t xml:space="preserve"> đa dạng hóa sản phẩm phục vụ khách du lịch, </w:t>
      </w:r>
      <w:r w:rsidRPr="00C61221">
        <w:rPr>
          <w:rFonts w:eastAsia="Calibri"/>
          <w:bCs/>
          <w:sz w:val="28"/>
          <w:szCs w:val="28"/>
          <w:lang w:val="vi-VN" w:eastAsia="zh-CN"/>
        </w:rPr>
        <w:t>góp phần giải quyết việc làm cho lao động nhàn rỗi ở nông thôn</w:t>
      </w:r>
      <w:r w:rsidRPr="00C61221">
        <w:rPr>
          <w:rFonts w:eastAsia="Calibri"/>
          <w:bCs/>
          <w:sz w:val="28"/>
          <w:szCs w:val="28"/>
          <w:lang w:val="zu-ZA" w:eastAsia="zh-CN"/>
        </w:rPr>
        <w:t>.</w:t>
      </w:r>
    </w:p>
    <w:p w:rsidR="004517D4" w:rsidRPr="00C61221" w:rsidRDefault="004517D4" w:rsidP="00C61221">
      <w:pPr>
        <w:tabs>
          <w:tab w:val="left" w:pos="709"/>
        </w:tabs>
        <w:spacing w:before="60" w:after="60"/>
        <w:ind w:firstLine="567"/>
        <w:jc w:val="both"/>
        <w:rPr>
          <w:rFonts w:eastAsia="Calibri"/>
          <w:bCs/>
          <w:sz w:val="28"/>
          <w:szCs w:val="28"/>
          <w:lang w:val="zu-ZA" w:eastAsia="zh-CN"/>
        </w:rPr>
      </w:pPr>
      <w:r w:rsidRPr="00C61221">
        <w:rPr>
          <w:sz w:val="28"/>
          <w:szCs w:val="28"/>
          <w:lang w:eastAsia="zh-CN"/>
        </w:rPr>
        <w:t>HTX trong lĩnh vực tiểu thủ công nghiệp ra đời đã góp phần giải quyết được việc làm cho lao động nhàn rỗi tại địa phương, tăng thêm thu nhập người lao động; duy trì và phát triển ngành nghề truyền thống. Tuy nhiên với số lượng không nhiều, vốn ít, sản xuất các sản phẩm mang hàm lượng kỹ thuật thấp nên khả cạnh tranh không cao và thị trường khó tiêu thụ.</w:t>
      </w:r>
    </w:p>
    <w:p w:rsidR="004517D4" w:rsidRPr="00C61221" w:rsidRDefault="004517D4" w:rsidP="00C61221">
      <w:pPr>
        <w:tabs>
          <w:tab w:val="left" w:pos="709"/>
        </w:tabs>
        <w:spacing w:before="60" w:after="60"/>
        <w:ind w:firstLine="567"/>
        <w:jc w:val="both"/>
        <w:rPr>
          <w:i/>
          <w:sz w:val="28"/>
          <w:szCs w:val="28"/>
          <w:lang w:eastAsia="zh-CN"/>
        </w:rPr>
      </w:pPr>
      <w:r w:rsidRPr="00C61221">
        <w:rPr>
          <w:i/>
          <w:sz w:val="28"/>
          <w:szCs w:val="28"/>
          <w:lang w:eastAsia="zh-CN"/>
        </w:rPr>
        <w:t>(3) KTTT, HTX hoạt động tron</w:t>
      </w:r>
      <w:r w:rsidR="00AB6AFA">
        <w:rPr>
          <w:i/>
          <w:sz w:val="28"/>
          <w:szCs w:val="28"/>
          <w:lang w:eastAsia="zh-CN"/>
        </w:rPr>
        <w:t>g lĩnh vực thương mại - dịch vụ</w:t>
      </w:r>
    </w:p>
    <w:p w:rsidR="004517D4" w:rsidRPr="00C61221" w:rsidRDefault="004517D4" w:rsidP="00C61221">
      <w:pPr>
        <w:spacing w:before="60" w:after="60"/>
        <w:ind w:firstLine="567"/>
        <w:jc w:val="both"/>
        <w:rPr>
          <w:rFonts w:eastAsia="NanumGothic"/>
          <w:spacing w:val="-4"/>
          <w:sz w:val="28"/>
          <w:szCs w:val="28"/>
          <w:lang w:val="zu-ZA"/>
        </w:rPr>
      </w:pPr>
      <w:r w:rsidRPr="00AB6AFA">
        <w:rPr>
          <w:rFonts w:eastAsia="NanumGothic"/>
          <w:spacing w:val="-4"/>
          <w:sz w:val="28"/>
          <w:szCs w:val="28"/>
          <w:lang w:val="zu-ZA"/>
        </w:rPr>
        <w:t>Có 02</w:t>
      </w:r>
      <w:r w:rsidR="00AB6AFA">
        <w:rPr>
          <w:rFonts w:eastAsia="NanumGothic"/>
          <w:spacing w:val="-4"/>
          <w:sz w:val="28"/>
          <w:szCs w:val="28"/>
          <w:lang w:val="zu-ZA"/>
        </w:rPr>
        <w:t xml:space="preserve"> </w:t>
      </w:r>
      <w:r w:rsidRPr="00AB6AFA">
        <w:rPr>
          <w:rFonts w:eastAsia="NanumGothic"/>
          <w:spacing w:val="-4"/>
          <w:sz w:val="28"/>
          <w:szCs w:val="28"/>
          <w:vertAlign w:val="superscript"/>
          <w:lang w:val="zu-ZA"/>
        </w:rPr>
        <w:t>(</w:t>
      </w:r>
      <w:r w:rsidRPr="00AB6AFA">
        <w:rPr>
          <w:rFonts w:eastAsia="NanumGothic"/>
          <w:spacing w:val="-4"/>
          <w:sz w:val="28"/>
          <w:szCs w:val="28"/>
          <w:vertAlign w:val="superscript"/>
          <w:lang w:val="zu-ZA"/>
        </w:rPr>
        <w:footnoteReference w:id="29"/>
      </w:r>
      <w:r w:rsidRPr="00AB6AFA">
        <w:rPr>
          <w:rFonts w:eastAsia="NanumGothic"/>
          <w:spacing w:val="-4"/>
          <w:sz w:val="28"/>
          <w:szCs w:val="28"/>
          <w:vertAlign w:val="superscript"/>
          <w:lang w:val="zu-ZA"/>
        </w:rPr>
        <w:t>)</w:t>
      </w:r>
      <w:r w:rsidRPr="00AB6AFA">
        <w:rPr>
          <w:rFonts w:eastAsia="NanumGothic"/>
          <w:spacing w:val="-4"/>
          <w:sz w:val="28"/>
          <w:szCs w:val="28"/>
          <w:lang w:val="zu-ZA"/>
        </w:rPr>
        <w:t xml:space="preserve"> </w:t>
      </w:r>
      <w:r w:rsidRPr="00AB6AFA">
        <w:rPr>
          <w:bCs/>
          <w:spacing w:val="-2"/>
          <w:sz w:val="28"/>
          <w:szCs w:val="28"/>
          <w:lang w:val="zu-ZA"/>
        </w:rPr>
        <w:t>HTX</w:t>
      </w:r>
      <w:r w:rsidRPr="00AB6AFA">
        <w:rPr>
          <w:rFonts w:eastAsia="NanumGothic"/>
          <w:spacing w:val="-4"/>
          <w:sz w:val="28"/>
          <w:szCs w:val="28"/>
          <w:lang w:val="zu-ZA"/>
        </w:rPr>
        <w:t xml:space="preserve"> đang hoạt động, chiếm chưa đến 1%, </w:t>
      </w:r>
      <w:r w:rsidRPr="00AB6AFA">
        <w:rPr>
          <w:rFonts w:eastAsia="NanumGothic"/>
          <w:sz w:val="28"/>
          <w:szCs w:val="28"/>
          <w:lang w:eastAsia="zh-CN"/>
        </w:rPr>
        <w:t>t</w:t>
      </w:r>
      <w:r w:rsidRPr="00AB6AFA">
        <w:rPr>
          <w:rFonts w:eastAsia="Calibri"/>
          <w:sz w:val="28"/>
          <w:szCs w:val="28"/>
          <w:lang w:val="vi-VN" w:eastAsia="zh-CN"/>
        </w:rPr>
        <w:t xml:space="preserve">ổng số thành viên là </w:t>
      </w:r>
      <w:r w:rsidRPr="00AB6AFA">
        <w:rPr>
          <w:rFonts w:eastAsia="Calibri"/>
          <w:sz w:val="28"/>
          <w:szCs w:val="28"/>
          <w:lang w:eastAsia="zh-CN"/>
        </w:rPr>
        <w:t xml:space="preserve">18 </w:t>
      </w:r>
      <w:r w:rsidRPr="00AB6AFA">
        <w:rPr>
          <w:rFonts w:eastAsia="Calibri"/>
          <w:sz w:val="28"/>
          <w:szCs w:val="28"/>
          <w:lang w:val="vi-VN" w:eastAsia="zh-CN"/>
        </w:rPr>
        <w:t>thành viên</w:t>
      </w:r>
      <w:r w:rsidRPr="00AB6AFA">
        <w:rPr>
          <w:rFonts w:eastAsia="NanumGothic"/>
          <w:spacing w:val="-4"/>
          <w:sz w:val="28"/>
          <w:szCs w:val="28"/>
          <w:lang w:val="zu-ZA"/>
        </w:rPr>
        <w:t xml:space="preserve">, </w:t>
      </w:r>
      <w:r w:rsidRPr="00AB6AFA">
        <w:rPr>
          <w:rFonts w:eastAsia="Calibri"/>
          <w:sz w:val="28"/>
          <w:szCs w:val="28"/>
          <w:lang w:val="vi-VN" w:eastAsia="zh-CN"/>
        </w:rPr>
        <w:t xml:space="preserve">vốn điều lệ là </w:t>
      </w:r>
      <w:r w:rsidRPr="00AB6AFA">
        <w:rPr>
          <w:rFonts w:eastAsia="Calibri"/>
          <w:sz w:val="28"/>
          <w:szCs w:val="28"/>
          <w:lang w:eastAsia="zh-CN"/>
        </w:rPr>
        <w:t>300 triệu</w:t>
      </w:r>
      <w:r w:rsidRPr="00AB6AFA">
        <w:rPr>
          <w:rFonts w:eastAsia="Calibri"/>
          <w:sz w:val="28"/>
          <w:szCs w:val="28"/>
          <w:lang w:val="vi-VN" w:eastAsia="zh-CN"/>
        </w:rPr>
        <w:t xml:space="preserve"> đồng</w:t>
      </w:r>
      <w:r w:rsidRPr="00C61221">
        <w:rPr>
          <w:rFonts w:eastAsia="Calibri"/>
          <w:sz w:val="28"/>
          <w:szCs w:val="28"/>
          <w:lang w:eastAsia="zh-CN"/>
        </w:rPr>
        <w:t xml:space="preserve">; </w:t>
      </w:r>
      <w:r w:rsidRPr="00C61221">
        <w:rPr>
          <w:rFonts w:eastAsia="NanumGothic"/>
          <w:spacing w:val="-4"/>
          <w:sz w:val="28"/>
          <w:szCs w:val="28"/>
          <w:lang w:val="zu-ZA"/>
        </w:rPr>
        <w:t xml:space="preserve">vốn góp ít, khả năng cạnh tranh và phát triển của các </w:t>
      </w:r>
      <w:r w:rsidRPr="00C61221">
        <w:rPr>
          <w:bCs/>
          <w:spacing w:val="-2"/>
          <w:sz w:val="28"/>
          <w:szCs w:val="28"/>
          <w:lang w:val="zu-ZA"/>
        </w:rPr>
        <w:t>HTX</w:t>
      </w:r>
      <w:r w:rsidRPr="00C61221">
        <w:rPr>
          <w:rFonts w:eastAsia="NanumGothic"/>
          <w:spacing w:val="-4"/>
          <w:sz w:val="28"/>
          <w:szCs w:val="28"/>
          <w:lang w:val="zu-ZA"/>
        </w:rPr>
        <w:t xml:space="preserve"> còn gặp nhiều khó khăn vì thiếu phương án sản xuất kinh doanh.</w:t>
      </w:r>
    </w:p>
    <w:p w:rsidR="00AB6AFA" w:rsidRDefault="00AB6AFA" w:rsidP="00C61221">
      <w:pPr>
        <w:tabs>
          <w:tab w:val="left" w:pos="709"/>
        </w:tabs>
        <w:spacing w:before="60" w:after="60"/>
        <w:ind w:firstLine="567"/>
        <w:jc w:val="both"/>
        <w:rPr>
          <w:i/>
          <w:sz w:val="28"/>
          <w:szCs w:val="28"/>
          <w:lang w:eastAsia="zh-CN"/>
        </w:rPr>
      </w:pPr>
    </w:p>
    <w:p w:rsidR="004517D4" w:rsidRPr="00C61221" w:rsidRDefault="004517D4" w:rsidP="00C61221">
      <w:pPr>
        <w:tabs>
          <w:tab w:val="left" w:pos="709"/>
        </w:tabs>
        <w:spacing w:before="60" w:after="60"/>
        <w:ind w:firstLine="567"/>
        <w:jc w:val="both"/>
        <w:rPr>
          <w:i/>
          <w:sz w:val="28"/>
          <w:szCs w:val="28"/>
          <w:lang w:eastAsia="zh-CN"/>
        </w:rPr>
      </w:pPr>
      <w:r w:rsidRPr="00C61221">
        <w:rPr>
          <w:i/>
          <w:sz w:val="28"/>
          <w:szCs w:val="28"/>
          <w:lang w:eastAsia="zh-CN"/>
        </w:rPr>
        <w:lastRenderedPageBreak/>
        <w:t>(4) KTTT, HTX h</w:t>
      </w:r>
      <w:r w:rsidR="00AB6AFA">
        <w:rPr>
          <w:i/>
          <w:sz w:val="28"/>
          <w:szCs w:val="28"/>
          <w:lang w:eastAsia="zh-CN"/>
        </w:rPr>
        <w:t>oạt động trong lĩnh vực vận tải</w:t>
      </w:r>
    </w:p>
    <w:p w:rsidR="004517D4" w:rsidRPr="00C61221" w:rsidRDefault="004517D4" w:rsidP="00C61221">
      <w:pPr>
        <w:spacing w:before="60" w:after="60"/>
        <w:ind w:firstLine="567"/>
        <w:jc w:val="both"/>
        <w:rPr>
          <w:sz w:val="28"/>
          <w:szCs w:val="28"/>
          <w:lang w:eastAsia="zh-CN"/>
        </w:rPr>
      </w:pPr>
      <w:r w:rsidRPr="00AB6AFA">
        <w:rPr>
          <w:rFonts w:eastAsia="NanumGothic"/>
          <w:spacing w:val="-2"/>
          <w:sz w:val="28"/>
          <w:szCs w:val="28"/>
          <w:lang w:val="zu-ZA"/>
        </w:rPr>
        <w:t xml:space="preserve">Toàn Tỉnh có 13 </w:t>
      </w:r>
      <w:r w:rsidRPr="00AB6AFA">
        <w:rPr>
          <w:bCs/>
          <w:spacing w:val="-2"/>
          <w:sz w:val="28"/>
          <w:szCs w:val="28"/>
          <w:lang w:val="zu-ZA"/>
        </w:rPr>
        <w:t>HTX</w:t>
      </w:r>
      <w:r w:rsidRPr="00AB6AFA">
        <w:rPr>
          <w:rFonts w:eastAsia="NanumGothic"/>
          <w:spacing w:val="-2"/>
          <w:sz w:val="28"/>
          <w:szCs w:val="28"/>
          <w:lang w:val="zu-ZA"/>
        </w:rPr>
        <w:t xml:space="preserve"> đang hoạt động, chiếm 6% với </w:t>
      </w:r>
      <w:r w:rsidRPr="00AB6AFA">
        <w:rPr>
          <w:sz w:val="28"/>
          <w:szCs w:val="28"/>
          <w:lang w:eastAsia="zh-CN"/>
        </w:rPr>
        <w:t xml:space="preserve">3.871 thành viên, </w:t>
      </w:r>
      <w:r w:rsidRPr="00AB6AFA">
        <w:rPr>
          <w:rFonts w:eastAsia="Calibri"/>
          <w:sz w:val="28"/>
          <w:szCs w:val="28"/>
          <w:lang w:val="vi-VN"/>
        </w:rPr>
        <w:t xml:space="preserve">vốn điều lệ </w:t>
      </w:r>
      <w:r w:rsidRPr="00AB6AFA">
        <w:rPr>
          <w:rFonts w:eastAsia="Calibri"/>
          <w:sz w:val="28"/>
          <w:szCs w:val="28"/>
        </w:rPr>
        <w:t>gần 31.386 triệu</w:t>
      </w:r>
      <w:r w:rsidRPr="00AB6AFA">
        <w:rPr>
          <w:rFonts w:eastAsia="Calibri"/>
          <w:sz w:val="28"/>
          <w:szCs w:val="28"/>
          <w:lang w:val="vi-VN"/>
        </w:rPr>
        <w:t xml:space="preserve"> đồng</w:t>
      </w:r>
      <w:r w:rsidRPr="00AB6AFA">
        <w:rPr>
          <w:rFonts w:eastAsia="Calibri"/>
          <w:sz w:val="28"/>
          <w:szCs w:val="28"/>
        </w:rPr>
        <w:t xml:space="preserve">. </w:t>
      </w:r>
      <w:r w:rsidRPr="00AB6AFA">
        <w:rPr>
          <w:sz w:val="28"/>
          <w:szCs w:val="28"/>
          <w:lang w:eastAsia="zh-CN"/>
        </w:rPr>
        <w:t>Tổng</w:t>
      </w:r>
      <w:r w:rsidRPr="00C61221">
        <w:rPr>
          <w:sz w:val="28"/>
          <w:szCs w:val="28"/>
          <w:lang w:eastAsia="zh-CN"/>
        </w:rPr>
        <w:t xml:space="preserve"> số lao động làm việc thường xuyên HTX 2.423 người (số lao động đồng thời là thành viên của HTX 1.596 người). Doanh thu bình quân trên năm của HTX  là 9.742 triệu đồng, lãi bình quân HTX 105 triệu đồng/năm.</w:t>
      </w:r>
      <w:r w:rsidR="00AB6AFA">
        <w:rPr>
          <w:sz w:val="28"/>
          <w:szCs w:val="28"/>
          <w:lang w:eastAsia="zh-CN"/>
        </w:rPr>
        <w:t xml:space="preserve"> </w:t>
      </w:r>
      <w:r w:rsidRPr="00C61221">
        <w:rPr>
          <w:sz w:val="28"/>
          <w:szCs w:val="28"/>
          <w:lang w:eastAsia="zh-CN"/>
        </w:rPr>
        <w:t>Thu nhập bình quân của lao động làm việc thường xuyên trong HTX 82 triệu đồng.</w:t>
      </w:r>
    </w:p>
    <w:p w:rsidR="004517D4" w:rsidRPr="00C61221" w:rsidRDefault="004517D4" w:rsidP="00C61221">
      <w:pPr>
        <w:spacing w:before="60" w:after="60"/>
        <w:ind w:firstLine="567"/>
        <w:jc w:val="both"/>
        <w:rPr>
          <w:sz w:val="28"/>
          <w:szCs w:val="28"/>
          <w:lang w:eastAsia="zh-CN"/>
        </w:rPr>
      </w:pPr>
      <w:r w:rsidRPr="00C61221">
        <w:rPr>
          <w:sz w:val="28"/>
          <w:szCs w:val="28"/>
          <w:lang w:eastAsia="zh-CN"/>
        </w:rPr>
        <w:t>Nhìn chung, hoạt động của các HTX vận tải góp phần vào việc đáp ứng nhu cầu vận tải hàng hóa, hành khách cho người dân, giúp cho các cơ quanquản lý Nhà nước quản lý được phương tiện vận tải cá nhân và hộ cá thể.</w:t>
      </w:r>
    </w:p>
    <w:p w:rsidR="004517D4" w:rsidRPr="00C61221" w:rsidRDefault="004517D4" w:rsidP="00C61221">
      <w:pPr>
        <w:spacing w:before="60" w:after="60"/>
        <w:ind w:firstLine="567"/>
        <w:jc w:val="both"/>
        <w:rPr>
          <w:sz w:val="28"/>
          <w:szCs w:val="28"/>
          <w:lang w:eastAsia="zh-CN"/>
        </w:rPr>
      </w:pPr>
      <w:r w:rsidRPr="00C61221">
        <w:rPr>
          <w:sz w:val="28"/>
          <w:szCs w:val="28"/>
          <w:lang w:eastAsia="zh-CN"/>
        </w:rPr>
        <w:t>Tuy nhiên, p</w:t>
      </w:r>
      <w:r w:rsidRPr="00C61221">
        <w:rPr>
          <w:spacing w:val="-2"/>
          <w:sz w:val="28"/>
          <w:szCs w:val="28"/>
          <w:lang w:eastAsia="zh-CN"/>
        </w:rPr>
        <w:t xml:space="preserve">hần lớn các HTX hoạt động vận tải là chính, chưa mạnh dạn mở rộng ngành nghề kinh doanh các ngành nghề hỗ trợ vận tải. Năng lực hoạt động của các HTX không đồng đều, trình độ chuyên môn nghiệp vụ quản lý của một số HTX chưa cao, </w:t>
      </w:r>
      <w:r w:rsidRPr="00C61221">
        <w:rPr>
          <w:sz w:val="28"/>
          <w:szCs w:val="28"/>
          <w:lang w:eastAsia="zh-CN"/>
        </w:rPr>
        <w:t xml:space="preserve">một số HTX thành lập chưa thật sự do nhu cầu của thành viên và người lao động mà do cơ chế, </w:t>
      </w:r>
      <w:r w:rsidRPr="00C61221">
        <w:rPr>
          <w:spacing w:val="-2"/>
          <w:sz w:val="28"/>
          <w:szCs w:val="28"/>
          <w:lang w:eastAsia="zh-CN"/>
        </w:rPr>
        <w:t xml:space="preserve">một số nơi thành viên tham gia mang tính hình thức, </w:t>
      </w:r>
      <w:r w:rsidRPr="00C61221">
        <w:rPr>
          <w:sz w:val="28"/>
          <w:szCs w:val="28"/>
          <w:lang w:val="pt-BR" w:eastAsia="zh-CN"/>
        </w:rPr>
        <w:t xml:space="preserve">nhiều HTX hoạt động trên danh nghĩa, thực chất chỉ là cá nhân đứng lên thành lập làm các dịch vụ thủ tục giấy tờ  cho cá nhân, các hộ cá thể có phương tiện, có nhu cầu kinh doanh vận tải. </w:t>
      </w:r>
    </w:p>
    <w:p w:rsidR="004517D4" w:rsidRPr="00C61221" w:rsidRDefault="004517D4" w:rsidP="00C61221">
      <w:pPr>
        <w:spacing w:before="60" w:after="60"/>
        <w:ind w:firstLine="567"/>
        <w:jc w:val="both"/>
        <w:rPr>
          <w:sz w:val="28"/>
          <w:szCs w:val="28"/>
          <w:lang w:eastAsia="zh-CN"/>
        </w:rPr>
      </w:pPr>
      <w:r w:rsidRPr="00C61221">
        <w:rPr>
          <w:i/>
          <w:spacing w:val="-2"/>
          <w:sz w:val="28"/>
          <w:szCs w:val="28"/>
          <w:lang w:eastAsia="zh-CN"/>
        </w:rPr>
        <w:t xml:space="preserve">Nguyên nhân: </w:t>
      </w:r>
      <w:r w:rsidRPr="00C61221">
        <w:rPr>
          <w:spacing w:val="-2"/>
          <w:sz w:val="28"/>
          <w:szCs w:val="28"/>
          <w:lang w:eastAsia="zh-CN"/>
        </w:rPr>
        <w:t xml:space="preserve">do quy định về điều kiện kinh doanh </w:t>
      </w:r>
      <w:r w:rsidRPr="00C61221">
        <w:rPr>
          <w:sz w:val="28"/>
          <w:szCs w:val="28"/>
          <w:lang w:eastAsia="zh-CN"/>
        </w:rPr>
        <w:t>nếu không tham gia tổ chức (doanh nghiệp hoặc HTX) thì cá nhân không được phép kinh doanh vận tải hành khách theo tuyến cố đ</w:t>
      </w:r>
      <w:r w:rsidR="00AB6AFA">
        <w:rPr>
          <w:sz w:val="28"/>
          <w:szCs w:val="28"/>
          <w:lang w:eastAsia="zh-CN"/>
        </w:rPr>
        <w:t>ịnh, taxi, xe buýt và xe công-ten-</w:t>
      </w:r>
      <w:r w:rsidRPr="00C61221">
        <w:rPr>
          <w:sz w:val="28"/>
          <w:szCs w:val="28"/>
          <w:lang w:eastAsia="zh-CN"/>
        </w:rPr>
        <w:t>nơ; cá nhân có phương tiện muốn kinh doanh các loại hình vận tải nói trên thì phải thông qua HTX để được làm thủ tục, HTX thay mặt thành viên ký hợp đồng vận chuyển hàng hóa, hành khách và một số dịch vụ khác. Hàng tháng thành viên phải nộp quản lý phí cho HTX, tự khai thác,tự chịu trách nhiệm về kết quả sản xuất kinh doanh, kể cả khi gặp rủi ro.</w:t>
      </w:r>
    </w:p>
    <w:p w:rsidR="004517D4" w:rsidRPr="00C61221" w:rsidRDefault="004517D4" w:rsidP="00C61221">
      <w:pPr>
        <w:tabs>
          <w:tab w:val="left" w:pos="709"/>
        </w:tabs>
        <w:spacing w:before="60" w:after="60"/>
        <w:ind w:firstLine="567"/>
        <w:jc w:val="both"/>
        <w:rPr>
          <w:i/>
          <w:sz w:val="28"/>
          <w:szCs w:val="28"/>
          <w:lang w:eastAsia="zh-CN"/>
        </w:rPr>
      </w:pPr>
      <w:r w:rsidRPr="00C61221">
        <w:rPr>
          <w:i/>
          <w:sz w:val="28"/>
          <w:szCs w:val="28"/>
          <w:lang w:eastAsia="zh-CN"/>
        </w:rPr>
        <w:t>(5) KTTT, HTX hoạt động trong lĩnh vực tín dụng.</w:t>
      </w:r>
    </w:p>
    <w:p w:rsidR="004517D4" w:rsidRPr="00AB6AFA" w:rsidRDefault="004517D4" w:rsidP="00C61221">
      <w:pPr>
        <w:spacing w:before="60" w:after="60"/>
        <w:ind w:firstLine="720"/>
        <w:jc w:val="both"/>
        <w:rPr>
          <w:sz w:val="28"/>
          <w:szCs w:val="28"/>
          <w:lang w:eastAsia="zh-CN"/>
        </w:rPr>
      </w:pPr>
      <w:r w:rsidRPr="00AB6AFA">
        <w:rPr>
          <w:rFonts w:eastAsia="NanumGothic"/>
          <w:sz w:val="28"/>
          <w:szCs w:val="28"/>
          <w:lang w:val="zu-ZA"/>
        </w:rPr>
        <w:t xml:space="preserve">Toàn </w:t>
      </w:r>
      <w:r w:rsidR="00AB6AFA">
        <w:rPr>
          <w:rFonts w:eastAsia="NanumGothic"/>
          <w:sz w:val="28"/>
          <w:szCs w:val="28"/>
          <w:lang w:val="zu-ZA"/>
        </w:rPr>
        <w:t>T</w:t>
      </w:r>
      <w:r w:rsidRPr="00AB6AFA">
        <w:rPr>
          <w:rFonts w:eastAsia="NanumGothic"/>
          <w:sz w:val="28"/>
          <w:szCs w:val="28"/>
          <w:lang w:val="zu-ZA"/>
        </w:rPr>
        <w:t xml:space="preserve">ỉnh hiện có </w:t>
      </w:r>
      <w:r w:rsidRPr="00AB6AFA">
        <w:rPr>
          <w:rFonts w:eastAsia="Calibri"/>
          <w:sz w:val="28"/>
          <w:szCs w:val="28"/>
          <w:lang w:val="zu-ZA"/>
        </w:rPr>
        <w:t>17</w:t>
      </w:r>
      <w:r w:rsidRPr="00AB6AFA">
        <w:rPr>
          <w:rFonts w:eastAsia="Calibri"/>
          <w:sz w:val="28"/>
          <w:szCs w:val="28"/>
          <w:lang w:val="vi-VN"/>
        </w:rPr>
        <w:t xml:space="preserve"> Quỹ tín dụng nhân dân </w:t>
      </w:r>
      <w:r w:rsidRPr="00AB6AFA">
        <w:rPr>
          <w:rFonts w:eastAsia="Calibri"/>
          <w:sz w:val="28"/>
          <w:szCs w:val="28"/>
          <w:lang w:val="zu-ZA"/>
        </w:rPr>
        <w:t>QTDND, chiếm gần 8% tổng số</w:t>
      </w:r>
      <w:r w:rsidR="00AB6AFA">
        <w:rPr>
          <w:rFonts w:eastAsia="Calibri"/>
          <w:sz w:val="28"/>
          <w:szCs w:val="28"/>
          <w:lang w:val="zu-ZA"/>
        </w:rPr>
        <w:t xml:space="preserve"> HTX </w:t>
      </w:r>
      <w:r w:rsidRPr="00AB6AFA">
        <w:rPr>
          <w:rFonts w:eastAsia="Calibri"/>
          <w:sz w:val="28"/>
          <w:szCs w:val="28"/>
          <w:lang w:val="zu-ZA"/>
        </w:rPr>
        <w:t>của Tỉnh,</w:t>
      </w:r>
      <w:r w:rsidRPr="00AB6AFA">
        <w:rPr>
          <w:spacing w:val="-2"/>
          <w:sz w:val="28"/>
          <w:szCs w:val="28"/>
          <w:lang w:eastAsia="zh-CN"/>
        </w:rPr>
        <w:t xml:space="preserve">hoạt </w:t>
      </w:r>
      <w:r w:rsidRPr="00AB6AFA">
        <w:rPr>
          <w:spacing w:val="-4"/>
          <w:sz w:val="28"/>
          <w:szCs w:val="28"/>
          <w:lang w:eastAsia="zh-CN"/>
        </w:rPr>
        <w:t xml:space="preserve">động ổn định tại 43 xã, phường, thị trấn của 08 huyện, thành phố với số lượng </w:t>
      </w:r>
      <w:r w:rsidRPr="00AB6AFA">
        <w:rPr>
          <w:spacing w:val="-2"/>
          <w:sz w:val="28"/>
          <w:szCs w:val="28"/>
          <w:lang w:eastAsia="zh-CN"/>
        </w:rPr>
        <w:t xml:space="preserve">thành viên là 22.625 người. </w:t>
      </w:r>
      <w:r w:rsidRPr="00AB6AFA">
        <w:rPr>
          <w:spacing w:val="-4"/>
          <w:sz w:val="28"/>
          <w:szCs w:val="28"/>
          <w:lang w:eastAsia="zh-CN"/>
        </w:rPr>
        <w:t>Tổng nguồn vốn hoạt động là 986.612 triệu đồng (trđ), tăng 572.685 trđ so với năm 2012, tỷ lệ tăng là 138,35%. Trong đó, vốn huy động tiền gửi là 836.944 trđ, tăng 551.159 trđ so với năm 2012, tỷ lệ tăng là 192,86%; tổng dư nợ cho vay là  820.287 trđ, tăng 470.544 trđ so với năm 2012, tỷ lệ tăng là 134,54%; tỷ lệ nợ xấu/tổng dư nợ ở mức thấp 0,79%.</w:t>
      </w:r>
    </w:p>
    <w:p w:rsidR="004517D4" w:rsidRPr="00C61221" w:rsidRDefault="004517D4" w:rsidP="00C61221">
      <w:pPr>
        <w:spacing w:before="60" w:after="60"/>
        <w:ind w:firstLine="709"/>
        <w:jc w:val="both"/>
        <w:rPr>
          <w:sz w:val="28"/>
          <w:szCs w:val="28"/>
          <w:lang w:eastAsia="zh-CN"/>
        </w:rPr>
      </w:pPr>
      <w:r w:rsidRPr="00C61221">
        <w:rPr>
          <w:sz w:val="28"/>
          <w:szCs w:val="28"/>
          <w:lang w:eastAsia="zh-CN"/>
        </w:rPr>
        <w:t>Kết quả một số chỉ tiêu hoạt động của các QTDND trong giai đoạn 2012-2021, cụ thể như sau:</w:t>
      </w:r>
    </w:p>
    <w:p w:rsidR="004517D4" w:rsidRPr="00C61221" w:rsidRDefault="004517D4" w:rsidP="00C61221">
      <w:pPr>
        <w:spacing w:before="60" w:after="60"/>
        <w:ind w:firstLine="720"/>
        <w:jc w:val="right"/>
        <w:rPr>
          <w:i/>
          <w:sz w:val="26"/>
          <w:szCs w:val="26"/>
        </w:rPr>
      </w:pPr>
      <w:r w:rsidRPr="00C61221">
        <w:rPr>
          <w:i/>
          <w:sz w:val="26"/>
          <w:szCs w:val="26"/>
        </w:rPr>
        <w:t>Đơn vị tính: triệu đồng</w:t>
      </w:r>
      <w:r w:rsidR="00AB6AFA">
        <w:rPr>
          <w:i/>
          <w:sz w:val="26"/>
          <w:szCs w:val="26"/>
        </w:rPr>
        <w:t xml:space="preserve"> (trđ)</w:t>
      </w:r>
    </w:p>
    <w:tbl>
      <w:tblPr>
        <w:tblW w:w="9229" w:type="dxa"/>
        <w:tblInd w:w="93" w:type="dxa"/>
        <w:tblLayout w:type="fixed"/>
        <w:tblLook w:val="04A0" w:firstRow="1" w:lastRow="0" w:firstColumn="1" w:lastColumn="0" w:noHBand="0" w:noVBand="1"/>
      </w:tblPr>
      <w:tblGrid>
        <w:gridCol w:w="1036"/>
        <w:gridCol w:w="822"/>
        <w:gridCol w:w="118"/>
        <w:gridCol w:w="940"/>
        <w:gridCol w:w="360"/>
        <w:gridCol w:w="580"/>
        <w:gridCol w:w="837"/>
        <w:gridCol w:w="103"/>
        <w:gridCol w:w="1031"/>
        <w:gridCol w:w="284"/>
        <w:gridCol w:w="992"/>
        <w:gridCol w:w="425"/>
        <w:gridCol w:w="709"/>
        <w:gridCol w:w="992"/>
      </w:tblGrid>
      <w:tr w:rsidR="004517D4" w:rsidRPr="00C61221" w:rsidTr="00365721">
        <w:trPr>
          <w:trHeight w:val="630"/>
          <w:tblHeader/>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zCs w:val="20"/>
                <w:lang w:eastAsia="zh-CN"/>
              </w:rPr>
            </w:pPr>
            <w:r w:rsidRPr="00C61221">
              <w:rPr>
                <w:b/>
                <w:bCs/>
                <w:szCs w:val="20"/>
                <w:lang w:eastAsia="zh-CN"/>
              </w:rPr>
              <w:t>Chỉ tiêu</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zCs w:val="20"/>
                <w:lang w:eastAsia="zh-CN"/>
              </w:rPr>
            </w:pPr>
            <w:r w:rsidRPr="00C61221">
              <w:rPr>
                <w:b/>
                <w:bCs/>
                <w:spacing w:val="-1"/>
                <w:szCs w:val="20"/>
                <w:lang w:val="sv-SE" w:eastAsia="zh-CN"/>
              </w:rPr>
              <w:t>Năm 2012</w:t>
            </w:r>
          </w:p>
        </w:tc>
        <w:tc>
          <w:tcPr>
            <w:tcW w:w="1417" w:type="dxa"/>
            <w:gridSpan w:val="2"/>
            <w:tcBorders>
              <w:top w:val="single" w:sz="4" w:space="0" w:color="auto"/>
              <w:left w:val="nil"/>
              <w:right w:val="single" w:sz="4" w:space="0" w:color="auto"/>
            </w:tcBorders>
            <w:vAlign w:val="center"/>
          </w:tcPr>
          <w:p w:rsidR="004517D4" w:rsidRPr="00C61221" w:rsidRDefault="004517D4" w:rsidP="00C61221">
            <w:pPr>
              <w:spacing w:before="60" w:after="60"/>
              <w:jc w:val="center"/>
              <w:rPr>
                <w:b/>
                <w:bCs/>
                <w:spacing w:val="-1"/>
                <w:szCs w:val="20"/>
                <w:lang w:eastAsia="zh-CN"/>
              </w:rPr>
            </w:pPr>
            <w:r w:rsidRPr="00C61221">
              <w:rPr>
                <w:b/>
                <w:bCs/>
                <w:spacing w:val="-1"/>
                <w:szCs w:val="20"/>
                <w:lang w:val="sv-SE" w:eastAsia="zh-CN"/>
              </w:rPr>
              <w:t>Năm 2013</w:t>
            </w:r>
          </w:p>
        </w:tc>
        <w:tc>
          <w:tcPr>
            <w:tcW w:w="1418" w:type="dxa"/>
            <w:gridSpan w:val="3"/>
            <w:tcBorders>
              <w:top w:val="single" w:sz="4" w:space="0" w:color="auto"/>
              <w:left w:val="single" w:sz="4" w:space="0" w:color="auto"/>
              <w:right w:val="single" w:sz="4" w:space="0" w:color="auto"/>
            </w:tcBorders>
            <w:vAlign w:val="center"/>
          </w:tcPr>
          <w:p w:rsidR="004517D4" w:rsidRPr="00C61221" w:rsidRDefault="004517D4" w:rsidP="00C61221">
            <w:pPr>
              <w:spacing w:before="60" w:after="60"/>
              <w:jc w:val="center"/>
              <w:rPr>
                <w:b/>
                <w:bCs/>
                <w:spacing w:val="-1"/>
                <w:szCs w:val="20"/>
                <w:lang w:eastAsia="zh-CN"/>
              </w:rPr>
            </w:pPr>
            <w:r w:rsidRPr="00C61221">
              <w:rPr>
                <w:b/>
                <w:bCs/>
                <w:spacing w:val="-1"/>
                <w:szCs w:val="20"/>
                <w:lang w:val="sv-SE" w:eastAsia="zh-CN"/>
              </w:rPr>
              <w:t>Năm 2014</w:t>
            </w:r>
          </w:p>
        </w:tc>
        <w:tc>
          <w:tcPr>
            <w:tcW w:w="1417" w:type="dxa"/>
            <w:gridSpan w:val="2"/>
            <w:tcBorders>
              <w:top w:val="single" w:sz="4" w:space="0" w:color="auto"/>
              <w:left w:val="nil"/>
              <w:right w:val="single" w:sz="4" w:space="0" w:color="auto"/>
            </w:tcBorders>
            <w:vAlign w:val="center"/>
          </w:tcPr>
          <w:p w:rsidR="004517D4" w:rsidRPr="00C61221" w:rsidRDefault="004517D4" w:rsidP="00C61221">
            <w:pPr>
              <w:spacing w:before="60" w:after="60"/>
              <w:jc w:val="center"/>
              <w:rPr>
                <w:b/>
                <w:bCs/>
                <w:spacing w:val="-1"/>
                <w:szCs w:val="20"/>
                <w:lang w:eastAsia="zh-CN"/>
              </w:rPr>
            </w:pPr>
            <w:r w:rsidRPr="00C61221">
              <w:rPr>
                <w:b/>
                <w:bCs/>
                <w:spacing w:val="-1"/>
                <w:szCs w:val="20"/>
                <w:lang w:val="sv-SE" w:eastAsia="zh-CN"/>
              </w:rPr>
              <w:t>Năm 2015</w:t>
            </w:r>
          </w:p>
        </w:tc>
        <w:tc>
          <w:tcPr>
            <w:tcW w:w="1701" w:type="dxa"/>
            <w:gridSpan w:val="2"/>
            <w:tcBorders>
              <w:top w:val="single" w:sz="4" w:space="0" w:color="auto"/>
              <w:left w:val="single" w:sz="4" w:space="0" w:color="auto"/>
              <w:right w:val="single" w:sz="4" w:space="0" w:color="auto"/>
            </w:tcBorders>
            <w:vAlign w:val="center"/>
          </w:tcPr>
          <w:p w:rsidR="004517D4" w:rsidRPr="00C61221" w:rsidRDefault="004517D4" w:rsidP="00C61221">
            <w:pPr>
              <w:spacing w:before="60" w:after="60"/>
              <w:jc w:val="center"/>
              <w:rPr>
                <w:b/>
                <w:bCs/>
                <w:spacing w:val="-1"/>
                <w:szCs w:val="20"/>
                <w:lang w:eastAsia="zh-CN"/>
              </w:rPr>
            </w:pPr>
            <w:r w:rsidRPr="00C61221">
              <w:rPr>
                <w:b/>
                <w:bCs/>
                <w:spacing w:val="-1"/>
                <w:szCs w:val="20"/>
                <w:lang w:val="sv-SE" w:eastAsia="zh-CN"/>
              </w:rPr>
              <w:t>Năm 2016</w:t>
            </w:r>
          </w:p>
        </w:tc>
      </w:tr>
      <w:tr w:rsidR="004517D4" w:rsidRPr="00C61221" w:rsidTr="00365721">
        <w:trPr>
          <w:trHeight w:val="31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Cs w:val="20"/>
                <w:lang w:eastAsia="zh-CN"/>
              </w:rPr>
            </w:pPr>
            <w:r w:rsidRPr="00C61221">
              <w:rPr>
                <w:szCs w:val="20"/>
                <w:lang w:eastAsia="zh-CN"/>
              </w:rPr>
              <w:t xml:space="preserve">1. Tổng nguồn vốn, </w:t>
            </w:r>
          </w:p>
        </w:tc>
        <w:tc>
          <w:tcPr>
            <w:tcW w:w="1418" w:type="dxa"/>
            <w:gridSpan w:val="3"/>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Cs w:val="20"/>
                <w:lang w:eastAsia="zh-CN"/>
              </w:rPr>
            </w:pPr>
            <w:r w:rsidRPr="00C61221">
              <w:rPr>
                <w:bCs/>
                <w:szCs w:val="20"/>
                <w:lang w:eastAsia="zh-CN"/>
              </w:rPr>
              <w:t>413.927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340.476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421.897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469.386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513.684 </w:t>
            </w:r>
          </w:p>
        </w:tc>
      </w:tr>
      <w:tr w:rsidR="004517D4" w:rsidRPr="00C61221" w:rsidTr="00365721">
        <w:trPr>
          <w:trHeight w:val="31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Cs w:val="20"/>
                <w:lang w:eastAsia="zh-CN"/>
              </w:rPr>
            </w:pPr>
            <w:r w:rsidRPr="00C61221">
              <w:rPr>
                <w:szCs w:val="20"/>
                <w:lang w:eastAsia="zh-CN"/>
              </w:rPr>
              <w:t xml:space="preserve">2. Tổng dư nợ </w:t>
            </w:r>
          </w:p>
        </w:tc>
        <w:tc>
          <w:tcPr>
            <w:tcW w:w="1418" w:type="dxa"/>
            <w:gridSpan w:val="3"/>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Cs w:val="20"/>
                <w:lang w:eastAsia="zh-CN"/>
              </w:rPr>
            </w:pPr>
            <w:r w:rsidRPr="00C61221">
              <w:rPr>
                <w:szCs w:val="20"/>
                <w:lang w:eastAsia="zh-CN"/>
              </w:rPr>
              <w:t>349.743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407.161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431.930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464.263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530.309 </w:t>
            </w:r>
          </w:p>
        </w:tc>
      </w:tr>
      <w:tr w:rsidR="004517D4" w:rsidRPr="00C61221" w:rsidTr="00365721">
        <w:trPr>
          <w:trHeight w:val="31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Cs w:val="20"/>
                <w:lang w:eastAsia="zh-CN"/>
              </w:rPr>
            </w:pPr>
            <w:r w:rsidRPr="00C61221">
              <w:rPr>
                <w:szCs w:val="20"/>
                <w:lang w:eastAsia="zh-CN"/>
              </w:rPr>
              <w:t>3. Nợ xấu</w:t>
            </w:r>
          </w:p>
        </w:tc>
        <w:tc>
          <w:tcPr>
            <w:tcW w:w="1418" w:type="dxa"/>
            <w:gridSpan w:val="3"/>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Cs w:val="20"/>
                <w:lang w:eastAsia="zh-CN"/>
              </w:rPr>
            </w:pPr>
            <w:r w:rsidRPr="00C61221">
              <w:rPr>
                <w:szCs w:val="20"/>
                <w:lang w:eastAsia="zh-CN"/>
              </w:rPr>
              <w:t>4.951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5.189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6.157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6.510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6.582 </w:t>
            </w:r>
          </w:p>
        </w:tc>
      </w:tr>
      <w:tr w:rsidR="004517D4" w:rsidRPr="00C61221" w:rsidTr="00365721">
        <w:trPr>
          <w:trHeight w:val="31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Cs w:val="20"/>
                <w:lang w:eastAsia="zh-CN"/>
              </w:rPr>
            </w:pPr>
            <w:r w:rsidRPr="00C61221">
              <w:rPr>
                <w:szCs w:val="20"/>
                <w:lang w:eastAsia="zh-CN"/>
              </w:rPr>
              <w:t xml:space="preserve">4. Số lượng </w:t>
            </w:r>
            <w:r w:rsidRPr="00C61221">
              <w:rPr>
                <w:szCs w:val="20"/>
                <w:lang w:eastAsia="zh-CN"/>
              </w:rPr>
              <w:lastRenderedPageBreak/>
              <w:t xml:space="preserve">QTD </w:t>
            </w:r>
          </w:p>
        </w:tc>
        <w:tc>
          <w:tcPr>
            <w:tcW w:w="1418" w:type="dxa"/>
            <w:gridSpan w:val="3"/>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szCs w:val="20"/>
                <w:lang w:eastAsia="zh-CN"/>
              </w:rPr>
            </w:pPr>
            <w:r w:rsidRPr="00C61221">
              <w:rPr>
                <w:bCs/>
                <w:szCs w:val="20"/>
                <w:lang w:eastAsia="zh-CN"/>
              </w:rPr>
              <w:lastRenderedPageBreak/>
              <w:t>17</w:t>
            </w:r>
          </w:p>
        </w:tc>
        <w:tc>
          <w:tcPr>
            <w:tcW w:w="1417"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szCs w:val="20"/>
                <w:lang w:eastAsia="zh-CN"/>
              </w:rPr>
            </w:pPr>
            <w:r w:rsidRPr="00C61221">
              <w:rPr>
                <w:bCs/>
                <w:szCs w:val="20"/>
                <w:lang w:eastAsia="zh-CN"/>
              </w:rPr>
              <w:t>17</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szCs w:val="20"/>
                <w:lang w:eastAsia="zh-CN"/>
              </w:rPr>
            </w:pPr>
            <w:r w:rsidRPr="00C61221">
              <w:rPr>
                <w:bCs/>
                <w:szCs w:val="20"/>
                <w:lang w:eastAsia="zh-CN"/>
              </w:rPr>
              <w:t>17</w:t>
            </w:r>
          </w:p>
        </w:tc>
        <w:tc>
          <w:tcPr>
            <w:tcW w:w="1417"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szCs w:val="20"/>
                <w:lang w:eastAsia="zh-CN"/>
              </w:rPr>
            </w:pPr>
            <w:r w:rsidRPr="00C61221">
              <w:rPr>
                <w:bCs/>
                <w:szCs w:val="20"/>
                <w:lang w:eastAsia="zh-CN"/>
              </w:rPr>
              <w:t>17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szCs w:val="20"/>
                <w:lang w:eastAsia="zh-CN"/>
              </w:rPr>
            </w:pPr>
            <w:r w:rsidRPr="00C61221">
              <w:rPr>
                <w:bCs/>
                <w:szCs w:val="20"/>
                <w:lang w:eastAsia="zh-CN"/>
              </w:rPr>
              <w:t>17</w:t>
            </w:r>
          </w:p>
        </w:tc>
      </w:tr>
      <w:tr w:rsidR="004517D4" w:rsidRPr="00C61221" w:rsidTr="00365721">
        <w:trPr>
          <w:trHeight w:val="31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Cs w:val="20"/>
                <w:lang w:eastAsia="zh-CN"/>
              </w:rPr>
            </w:pPr>
            <w:r w:rsidRPr="00C61221">
              <w:rPr>
                <w:szCs w:val="20"/>
                <w:lang w:eastAsia="zh-CN"/>
              </w:rPr>
              <w:t>5. Thành viên QTD (người)</w:t>
            </w:r>
          </w:p>
        </w:tc>
        <w:tc>
          <w:tcPr>
            <w:tcW w:w="1418" w:type="dxa"/>
            <w:gridSpan w:val="3"/>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Cs w:val="20"/>
                <w:lang w:eastAsia="zh-CN"/>
              </w:rPr>
            </w:pPr>
            <w:r w:rsidRPr="00C61221">
              <w:rPr>
                <w:bCs/>
                <w:szCs w:val="20"/>
                <w:lang w:eastAsia="zh-CN"/>
              </w:rPr>
              <w:t>34.883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36.302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37.365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34.365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Cs w:val="20"/>
                <w:lang w:eastAsia="zh-CN"/>
              </w:rPr>
            </w:pPr>
            <w:r w:rsidRPr="00C61221">
              <w:rPr>
                <w:szCs w:val="20"/>
                <w:lang w:eastAsia="zh-CN"/>
              </w:rPr>
              <w:t xml:space="preserve">     27.673 </w:t>
            </w:r>
          </w:p>
        </w:tc>
      </w:tr>
      <w:tr w:rsidR="004517D4" w:rsidRPr="00C61221" w:rsidTr="00365721">
        <w:trPr>
          <w:trHeight w:val="310"/>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z w:val="22"/>
                <w:szCs w:val="22"/>
                <w:lang w:eastAsia="zh-CN"/>
              </w:rPr>
            </w:pPr>
            <w:r w:rsidRPr="00C61221">
              <w:rPr>
                <w:b/>
                <w:bCs/>
                <w:sz w:val="22"/>
                <w:szCs w:val="22"/>
                <w:lang w:eastAsia="zh-CN"/>
              </w:rPr>
              <w:t>Chỉ tiêu</w:t>
            </w:r>
          </w:p>
        </w:tc>
        <w:tc>
          <w:tcPr>
            <w:tcW w:w="3760" w:type="dxa"/>
            <w:gridSpan w:val="7"/>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eastAsia="zh-CN"/>
              </w:rPr>
              <w:t>Kết quả (tiếp theo)</w:t>
            </w:r>
          </w:p>
        </w:tc>
        <w:tc>
          <w:tcPr>
            <w:tcW w:w="4433" w:type="dxa"/>
            <w:gridSpan w:val="6"/>
            <w:tcBorders>
              <w:top w:val="single" w:sz="4" w:space="0" w:color="auto"/>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eastAsia="zh-CN"/>
              </w:rPr>
              <w:t>Năm 2021</w:t>
            </w:r>
          </w:p>
        </w:tc>
      </w:tr>
      <w:tr w:rsidR="004517D4" w:rsidRPr="00C61221" w:rsidTr="00365721">
        <w:trPr>
          <w:trHeight w:val="3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517D4" w:rsidRPr="00C61221" w:rsidRDefault="004517D4" w:rsidP="00C61221">
            <w:pPr>
              <w:spacing w:before="60" w:after="60"/>
              <w:rPr>
                <w:b/>
                <w:bCs/>
                <w:sz w:val="22"/>
                <w:szCs w:val="22"/>
                <w:lang w:eastAsia="zh-CN"/>
              </w:rPr>
            </w:pPr>
          </w:p>
        </w:tc>
        <w:tc>
          <w:tcPr>
            <w:tcW w:w="940"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val="sv-SE" w:eastAsia="zh-CN"/>
              </w:rPr>
              <w:t>Năm 2017</w:t>
            </w:r>
          </w:p>
        </w:tc>
        <w:tc>
          <w:tcPr>
            <w:tcW w:w="940" w:type="dxa"/>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val="sv-SE" w:eastAsia="zh-CN"/>
              </w:rPr>
              <w:t>Năm 2018</w:t>
            </w:r>
          </w:p>
        </w:tc>
        <w:tc>
          <w:tcPr>
            <w:tcW w:w="940"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val="sv-SE" w:eastAsia="zh-CN"/>
              </w:rPr>
              <w:t>Năm 2019</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val="sv-SE" w:eastAsia="zh-CN"/>
              </w:rPr>
              <w:t>Năm 2020</w:t>
            </w:r>
          </w:p>
        </w:tc>
        <w:tc>
          <w:tcPr>
            <w:tcW w:w="1031" w:type="dxa"/>
            <w:tcBorders>
              <w:top w:val="nil"/>
              <w:left w:val="nil"/>
              <w:bottom w:val="single" w:sz="4" w:space="0" w:color="auto"/>
              <w:right w:val="single" w:sz="4" w:space="0" w:color="auto"/>
            </w:tcBorders>
            <w:shd w:val="clear" w:color="auto" w:fill="auto"/>
            <w:vAlign w:val="center"/>
            <w:hideMark/>
          </w:tcPr>
          <w:p w:rsidR="00365721" w:rsidRDefault="004517D4" w:rsidP="00C61221">
            <w:pPr>
              <w:spacing w:before="60" w:after="60"/>
              <w:jc w:val="center"/>
              <w:rPr>
                <w:b/>
                <w:bCs/>
                <w:spacing w:val="-1"/>
                <w:sz w:val="22"/>
                <w:szCs w:val="22"/>
                <w:lang w:eastAsia="zh-CN"/>
              </w:rPr>
            </w:pPr>
            <w:r w:rsidRPr="00C61221">
              <w:rPr>
                <w:b/>
                <w:bCs/>
                <w:spacing w:val="-1"/>
                <w:sz w:val="22"/>
                <w:szCs w:val="22"/>
                <w:lang w:eastAsia="zh-CN"/>
              </w:rPr>
              <w:t>30/06/</w:t>
            </w:r>
          </w:p>
          <w:p w:rsidR="004517D4" w:rsidRPr="00C61221" w:rsidRDefault="004517D4" w:rsidP="00C61221">
            <w:pPr>
              <w:spacing w:before="60" w:after="60"/>
              <w:jc w:val="center"/>
              <w:rPr>
                <w:b/>
                <w:bCs/>
                <w:sz w:val="22"/>
                <w:szCs w:val="22"/>
                <w:lang w:eastAsia="zh-CN"/>
              </w:rPr>
            </w:pPr>
            <w:r w:rsidRPr="00C61221">
              <w:rPr>
                <w:b/>
                <w:bCs/>
                <w:spacing w:val="-1"/>
                <w:sz w:val="22"/>
                <w:szCs w:val="22"/>
                <w:lang w:eastAsia="zh-CN"/>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z w:val="22"/>
                <w:szCs w:val="22"/>
                <w:lang w:eastAsia="zh-CN"/>
              </w:rPr>
            </w:pPr>
            <w:r w:rsidRPr="00C61221">
              <w:rPr>
                <w:b/>
                <w:bCs/>
                <w:sz w:val="22"/>
                <w:szCs w:val="22"/>
                <w:lang w:eastAsia="zh-CN"/>
              </w:rPr>
              <w:t>Số tiền tăng/giảm so với năm 2012</w:t>
            </w:r>
          </w:p>
        </w:tc>
        <w:tc>
          <w:tcPr>
            <w:tcW w:w="1134"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b/>
                <w:bCs/>
                <w:sz w:val="22"/>
                <w:szCs w:val="22"/>
                <w:lang w:eastAsia="zh-CN"/>
              </w:rPr>
            </w:pPr>
            <w:r w:rsidRPr="00C61221">
              <w:rPr>
                <w:b/>
                <w:bCs/>
                <w:spacing w:val="-1"/>
                <w:sz w:val="22"/>
                <w:szCs w:val="22"/>
                <w:lang w:eastAsia="zh-CN"/>
              </w:rPr>
              <w:t>% tăng/giảm so với năm 2012</w:t>
            </w:r>
          </w:p>
        </w:tc>
        <w:tc>
          <w:tcPr>
            <w:tcW w:w="992" w:type="dxa"/>
            <w:tcBorders>
              <w:top w:val="nil"/>
              <w:left w:val="nil"/>
              <w:bottom w:val="single" w:sz="4" w:space="0" w:color="auto"/>
              <w:right w:val="single" w:sz="4" w:space="0" w:color="auto"/>
            </w:tcBorders>
            <w:vAlign w:val="center"/>
          </w:tcPr>
          <w:p w:rsidR="004517D4" w:rsidRPr="00C61221" w:rsidRDefault="004517D4" w:rsidP="00C61221">
            <w:pPr>
              <w:spacing w:before="60" w:after="60"/>
              <w:jc w:val="center"/>
              <w:rPr>
                <w:b/>
                <w:bCs/>
                <w:spacing w:val="-1"/>
                <w:sz w:val="22"/>
                <w:szCs w:val="22"/>
                <w:lang w:eastAsia="zh-CN"/>
              </w:rPr>
            </w:pPr>
            <w:r w:rsidRPr="00C61221">
              <w:rPr>
                <w:b/>
                <w:bCs/>
                <w:spacing w:val="-1"/>
                <w:sz w:val="22"/>
                <w:szCs w:val="22"/>
                <w:lang w:eastAsia="zh-CN"/>
              </w:rPr>
              <w:t>Kế hoạch năm 2021</w:t>
            </w:r>
          </w:p>
        </w:tc>
      </w:tr>
      <w:tr w:rsidR="004517D4" w:rsidRPr="00C61221" w:rsidTr="00365721">
        <w:trPr>
          <w:trHeight w:val="3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 w:val="22"/>
                <w:szCs w:val="22"/>
                <w:lang w:eastAsia="zh-CN"/>
              </w:rPr>
            </w:pPr>
            <w:r w:rsidRPr="00C61221">
              <w:rPr>
                <w:sz w:val="22"/>
                <w:szCs w:val="22"/>
                <w:lang w:eastAsia="zh-CN"/>
              </w:rPr>
              <w:t>1. Tổng nguồn vốn, trong đó:</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565.029 </w:t>
            </w:r>
          </w:p>
        </w:tc>
        <w:tc>
          <w:tcPr>
            <w:tcW w:w="940" w:type="dxa"/>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604.740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659.308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782.313 </w:t>
            </w:r>
          </w:p>
        </w:tc>
        <w:tc>
          <w:tcPr>
            <w:tcW w:w="1031" w:type="dxa"/>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bCs/>
                <w:sz w:val="22"/>
                <w:szCs w:val="22"/>
                <w:lang w:eastAsia="zh-CN"/>
              </w:rPr>
              <w:t>986.612</w:t>
            </w:r>
          </w:p>
        </w:tc>
        <w:tc>
          <w:tcPr>
            <w:tcW w:w="1276"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572.685</w:t>
            </w:r>
          </w:p>
        </w:tc>
        <w:tc>
          <w:tcPr>
            <w:tcW w:w="1134"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138,35%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785.724 </w:t>
            </w:r>
          </w:p>
        </w:tc>
      </w:tr>
      <w:tr w:rsidR="004517D4" w:rsidRPr="00C61221" w:rsidTr="00365721">
        <w:trPr>
          <w:trHeight w:val="3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 w:val="22"/>
                <w:szCs w:val="22"/>
                <w:lang w:eastAsia="zh-CN"/>
              </w:rPr>
            </w:pPr>
            <w:r w:rsidRPr="00C61221">
              <w:rPr>
                <w:sz w:val="22"/>
                <w:szCs w:val="22"/>
                <w:lang w:eastAsia="zh-CN"/>
              </w:rPr>
              <w:t xml:space="preserve">2. Tổng dư nợ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614.668 </w:t>
            </w:r>
          </w:p>
        </w:tc>
        <w:tc>
          <w:tcPr>
            <w:tcW w:w="940" w:type="dxa"/>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687.817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773.292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819.567 </w:t>
            </w:r>
          </w:p>
        </w:tc>
        <w:tc>
          <w:tcPr>
            <w:tcW w:w="1031" w:type="dxa"/>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820.287</w:t>
            </w:r>
          </w:p>
        </w:tc>
        <w:tc>
          <w:tcPr>
            <w:tcW w:w="1276"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470.544</w:t>
            </w:r>
          </w:p>
        </w:tc>
        <w:tc>
          <w:tcPr>
            <w:tcW w:w="1134"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134,54%</w:t>
            </w:r>
          </w:p>
        </w:tc>
        <w:tc>
          <w:tcPr>
            <w:tcW w:w="992" w:type="dxa"/>
            <w:tcBorders>
              <w:top w:val="nil"/>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857.686 </w:t>
            </w:r>
          </w:p>
        </w:tc>
      </w:tr>
      <w:tr w:rsidR="004517D4" w:rsidRPr="00C61221" w:rsidTr="00365721">
        <w:trPr>
          <w:trHeight w:val="3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 w:val="22"/>
                <w:szCs w:val="22"/>
                <w:lang w:eastAsia="zh-CN"/>
              </w:rPr>
            </w:pPr>
            <w:r w:rsidRPr="00C61221">
              <w:rPr>
                <w:sz w:val="22"/>
                <w:szCs w:val="22"/>
                <w:lang w:eastAsia="zh-CN"/>
              </w:rPr>
              <w:t>3. Nợ xấu</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5.354 </w:t>
            </w:r>
          </w:p>
        </w:tc>
        <w:tc>
          <w:tcPr>
            <w:tcW w:w="940" w:type="dxa"/>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5.181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5.366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5.822 </w:t>
            </w:r>
          </w:p>
        </w:tc>
        <w:tc>
          <w:tcPr>
            <w:tcW w:w="1031" w:type="dxa"/>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6.435</w:t>
            </w:r>
          </w:p>
        </w:tc>
        <w:tc>
          <w:tcPr>
            <w:tcW w:w="1276"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1.484</w:t>
            </w:r>
          </w:p>
        </w:tc>
        <w:tc>
          <w:tcPr>
            <w:tcW w:w="1134"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29,97%</w:t>
            </w:r>
          </w:p>
        </w:tc>
        <w:tc>
          <w:tcPr>
            <w:tcW w:w="992" w:type="dxa"/>
            <w:tcBorders>
              <w:top w:val="nil"/>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&lt;3% </w:t>
            </w:r>
          </w:p>
        </w:tc>
      </w:tr>
      <w:tr w:rsidR="004517D4" w:rsidRPr="00C61221" w:rsidTr="00365721">
        <w:trPr>
          <w:trHeight w:val="3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 w:val="22"/>
                <w:szCs w:val="22"/>
                <w:lang w:eastAsia="zh-CN"/>
              </w:rPr>
            </w:pPr>
            <w:r w:rsidRPr="00C61221">
              <w:rPr>
                <w:sz w:val="22"/>
                <w:szCs w:val="22"/>
                <w:lang w:eastAsia="zh-CN"/>
              </w:rPr>
              <w:t xml:space="preserve">4. Số lượng QTD </w:t>
            </w:r>
          </w:p>
        </w:tc>
        <w:tc>
          <w:tcPr>
            <w:tcW w:w="940"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bCs/>
                <w:sz w:val="22"/>
                <w:szCs w:val="22"/>
                <w:lang w:eastAsia="zh-CN"/>
              </w:rPr>
            </w:pPr>
            <w:r w:rsidRPr="00C61221">
              <w:rPr>
                <w:bCs/>
                <w:sz w:val="22"/>
                <w:szCs w:val="22"/>
                <w:lang w:eastAsia="zh-CN"/>
              </w:rPr>
              <w:t>17</w:t>
            </w:r>
          </w:p>
        </w:tc>
        <w:tc>
          <w:tcPr>
            <w:tcW w:w="940" w:type="dxa"/>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sz w:val="22"/>
                <w:szCs w:val="22"/>
                <w:lang w:eastAsia="zh-CN"/>
              </w:rPr>
            </w:pPr>
            <w:r w:rsidRPr="00C61221">
              <w:rPr>
                <w:bCs/>
                <w:sz w:val="22"/>
                <w:szCs w:val="22"/>
                <w:lang w:eastAsia="zh-CN"/>
              </w:rPr>
              <w:t>17</w:t>
            </w:r>
          </w:p>
        </w:tc>
        <w:tc>
          <w:tcPr>
            <w:tcW w:w="940" w:type="dxa"/>
            <w:gridSpan w:val="2"/>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center"/>
              <w:rPr>
                <w:sz w:val="22"/>
                <w:szCs w:val="22"/>
                <w:lang w:eastAsia="zh-CN"/>
              </w:rPr>
            </w:pPr>
            <w:r w:rsidRPr="00C61221">
              <w:rPr>
                <w:bCs/>
                <w:sz w:val="22"/>
                <w:szCs w:val="22"/>
                <w:lang w:eastAsia="zh-CN"/>
              </w:rPr>
              <w:t>17</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4517D4" w:rsidRPr="00C61221" w:rsidRDefault="004517D4" w:rsidP="00C61221">
            <w:pPr>
              <w:spacing w:before="60" w:after="60"/>
              <w:jc w:val="center"/>
              <w:rPr>
                <w:sz w:val="22"/>
                <w:szCs w:val="22"/>
                <w:lang w:eastAsia="zh-CN"/>
              </w:rPr>
            </w:pPr>
            <w:r w:rsidRPr="00C61221">
              <w:rPr>
                <w:bCs/>
                <w:sz w:val="22"/>
                <w:szCs w:val="22"/>
                <w:lang w:eastAsia="zh-CN"/>
              </w:rPr>
              <w:t>17</w:t>
            </w:r>
          </w:p>
        </w:tc>
        <w:tc>
          <w:tcPr>
            <w:tcW w:w="1031" w:type="dxa"/>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sz w:val="22"/>
                <w:szCs w:val="22"/>
                <w:lang w:eastAsia="zh-CN"/>
              </w:rPr>
            </w:pPr>
            <w:r w:rsidRPr="00C61221">
              <w:rPr>
                <w:bCs/>
                <w:sz w:val="22"/>
                <w:szCs w:val="22"/>
                <w:lang w:eastAsia="zh-CN"/>
              </w:rPr>
              <w:t>17</w:t>
            </w:r>
          </w:p>
        </w:tc>
        <w:tc>
          <w:tcPr>
            <w:tcW w:w="1276"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sz w:val="22"/>
                <w:szCs w:val="22"/>
                <w:lang w:eastAsia="zh-CN"/>
              </w:rPr>
            </w:pPr>
            <w:r w:rsidRPr="00C61221">
              <w:rPr>
                <w:sz w:val="22"/>
                <w:szCs w:val="22"/>
                <w:lang w:eastAsia="zh-CN"/>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center"/>
              <w:rPr>
                <w:sz w:val="22"/>
                <w:szCs w:val="22"/>
                <w:lang w:eastAsia="zh-CN"/>
              </w:rPr>
            </w:pPr>
            <w:r w:rsidRPr="00C61221">
              <w:rPr>
                <w:sz w:val="22"/>
                <w:szCs w:val="22"/>
                <w:lang w:eastAsia="zh-CN"/>
              </w:rPr>
              <w:t>-</w:t>
            </w:r>
          </w:p>
        </w:tc>
        <w:tc>
          <w:tcPr>
            <w:tcW w:w="992" w:type="dxa"/>
            <w:tcBorders>
              <w:top w:val="nil"/>
              <w:left w:val="nil"/>
              <w:bottom w:val="single" w:sz="4" w:space="0" w:color="auto"/>
              <w:right w:val="single" w:sz="4" w:space="0" w:color="auto"/>
            </w:tcBorders>
            <w:vAlign w:val="center"/>
          </w:tcPr>
          <w:p w:rsidR="004517D4" w:rsidRPr="00C61221" w:rsidRDefault="004517D4" w:rsidP="00C61221">
            <w:pPr>
              <w:spacing w:before="60" w:after="60"/>
              <w:jc w:val="center"/>
              <w:rPr>
                <w:sz w:val="22"/>
                <w:szCs w:val="22"/>
                <w:lang w:eastAsia="zh-CN"/>
              </w:rPr>
            </w:pPr>
            <w:r w:rsidRPr="00C61221">
              <w:rPr>
                <w:sz w:val="22"/>
                <w:szCs w:val="22"/>
                <w:lang w:eastAsia="zh-CN"/>
              </w:rPr>
              <w:t>17</w:t>
            </w:r>
          </w:p>
        </w:tc>
      </w:tr>
      <w:tr w:rsidR="004517D4" w:rsidRPr="00C61221" w:rsidTr="00365721">
        <w:trPr>
          <w:trHeight w:val="31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7D4" w:rsidRPr="00C61221" w:rsidRDefault="004517D4" w:rsidP="00C61221">
            <w:pPr>
              <w:spacing w:before="60" w:after="60"/>
              <w:rPr>
                <w:sz w:val="22"/>
                <w:szCs w:val="22"/>
                <w:lang w:eastAsia="zh-CN"/>
              </w:rPr>
            </w:pPr>
            <w:r w:rsidRPr="00C61221">
              <w:rPr>
                <w:sz w:val="22"/>
                <w:szCs w:val="22"/>
                <w:lang w:eastAsia="zh-CN"/>
              </w:rPr>
              <w:t>5. Thành viên QTD (người)</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21.539 </w:t>
            </w:r>
          </w:p>
        </w:tc>
        <w:tc>
          <w:tcPr>
            <w:tcW w:w="940" w:type="dxa"/>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20.959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21.931 </w:t>
            </w:r>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4517D4" w:rsidRPr="00C61221" w:rsidRDefault="004517D4" w:rsidP="00C61221">
            <w:pPr>
              <w:spacing w:before="60" w:after="60"/>
              <w:rPr>
                <w:sz w:val="22"/>
                <w:szCs w:val="22"/>
                <w:lang w:eastAsia="zh-CN"/>
              </w:rPr>
            </w:pPr>
            <w:r w:rsidRPr="00C61221">
              <w:rPr>
                <w:sz w:val="22"/>
                <w:szCs w:val="22"/>
                <w:lang w:eastAsia="zh-CN"/>
              </w:rPr>
              <w:t xml:space="preserve">     21.674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bCs/>
                <w:sz w:val="22"/>
                <w:szCs w:val="22"/>
                <w:lang w:eastAsia="zh-CN"/>
              </w:rPr>
              <w:t>22.625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-12.258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517D4" w:rsidRPr="00C61221" w:rsidRDefault="004517D4" w:rsidP="00C61221">
            <w:pPr>
              <w:spacing w:before="60" w:after="60"/>
              <w:jc w:val="right"/>
              <w:rPr>
                <w:sz w:val="22"/>
                <w:szCs w:val="22"/>
                <w:lang w:eastAsia="zh-CN"/>
              </w:rPr>
            </w:pPr>
            <w:r w:rsidRPr="00C61221">
              <w:rPr>
                <w:sz w:val="22"/>
                <w:szCs w:val="22"/>
                <w:lang w:eastAsia="zh-CN"/>
              </w:rPr>
              <w:t>-35,14%</w:t>
            </w:r>
          </w:p>
        </w:tc>
        <w:tc>
          <w:tcPr>
            <w:tcW w:w="992" w:type="dxa"/>
            <w:tcBorders>
              <w:top w:val="single" w:sz="4" w:space="0" w:color="auto"/>
              <w:left w:val="nil"/>
              <w:bottom w:val="single" w:sz="4" w:space="0" w:color="auto"/>
              <w:right w:val="single" w:sz="4" w:space="0" w:color="auto"/>
            </w:tcBorders>
            <w:vAlign w:val="center"/>
          </w:tcPr>
          <w:p w:rsidR="004517D4" w:rsidRPr="00C61221" w:rsidRDefault="004517D4" w:rsidP="00C61221">
            <w:pPr>
              <w:spacing w:before="60" w:after="60"/>
              <w:jc w:val="right"/>
              <w:rPr>
                <w:sz w:val="22"/>
                <w:szCs w:val="22"/>
                <w:lang w:eastAsia="zh-CN"/>
              </w:rPr>
            </w:pPr>
            <w:r w:rsidRPr="00C61221">
              <w:rPr>
                <w:sz w:val="22"/>
                <w:szCs w:val="22"/>
                <w:lang w:eastAsia="zh-CN"/>
              </w:rPr>
              <w:t xml:space="preserve">     23.175</w:t>
            </w:r>
          </w:p>
        </w:tc>
      </w:tr>
    </w:tbl>
    <w:p w:rsidR="004517D4" w:rsidRPr="00C61221" w:rsidRDefault="004517D4" w:rsidP="00C61221">
      <w:pPr>
        <w:snapToGrid w:val="0"/>
        <w:spacing w:before="60" w:after="60"/>
        <w:ind w:firstLine="720"/>
        <w:jc w:val="both"/>
        <w:rPr>
          <w:rFonts w:eastAsia="NanumGothic"/>
          <w:sz w:val="28"/>
          <w:szCs w:val="28"/>
        </w:rPr>
      </w:pPr>
      <w:r w:rsidRPr="00C61221">
        <w:rPr>
          <w:i/>
          <w:sz w:val="28"/>
          <w:szCs w:val="28"/>
          <w:lang w:val="vi-VN" w:eastAsia="zh-CN"/>
        </w:rPr>
        <w:t>Nhìn chung</w:t>
      </w:r>
      <w:r w:rsidRPr="00C61221">
        <w:rPr>
          <w:sz w:val="28"/>
          <w:szCs w:val="28"/>
          <w:lang w:val="vi-VN" w:eastAsia="zh-CN"/>
        </w:rPr>
        <w:t>, hoạt động của 17 QTD</w:t>
      </w:r>
      <w:r w:rsidRPr="00C61221">
        <w:rPr>
          <w:sz w:val="28"/>
          <w:szCs w:val="28"/>
          <w:lang w:eastAsia="zh-CN"/>
        </w:rPr>
        <w:t>ND</w:t>
      </w:r>
      <w:r w:rsidRPr="00C61221">
        <w:rPr>
          <w:sz w:val="28"/>
          <w:szCs w:val="28"/>
          <w:lang w:val="vi-VN" w:eastAsia="zh-CN"/>
        </w:rPr>
        <w:t xml:space="preserve"> trên địa bàn ổn định,</w:t>
      </w:r>
      <w:r w:rsidRPr="00C61221">
        <w:rPr>
          <w:sz w:val="28"/>
          <w:szCs w:val="28"/>
          <w:lang w:val="fr-FR" w:eastAsia="zh-CN"/>
        </w:rPr>
        <w:t xml:space="preserve">kết quả kinh doanh hàng năm đều có lãi; </w:t>
      </w:r>
      <w:r w:rsidRPr="00C61221">
        <w:rPr>
          <w:sz w:val="28"/>
          <w:szCs w:val="28"/>
          <w:lang w:val="vi-VN" w:eastAsia="zh-CN"/>
        </w:rPr>
        <w:t>tỷ lệ nợ xấu</w:t>
      </w:r>
      <w:r w:rsidRPr="00C61221">
        <w:rPr>
          <w:sz w:val="28"/>
          <w:szCs w:val="28"/>
          <w:lang w:eastAsia="zh-CN"/>
        </w:rPr>
        <w:t>/</w:t>
      </w:r>
      <w:r w:rsidRPr="00C61221">
        <w:rPr>
          <w:sz w:val="28"/>
          <w:szCs w:val="28"/>
          <w:lang w:val="vi-VN" w:eastAsia="zh-CN"/>
        </w:rPr>
        <w:t>tổng d</w:t>
      </w:r>
      <w:r w:rsidRPr="00C61221">
        <w:rPr>
          <w:sz w:val="28"/>
          <w:szCs w:val="28"/>
          <w:lang w:eastAsia="zh-CN"/>
        </w:rPr>
        <w:t>ư</w:t>
      </w:r>
      <w:r w:rsidRPr="00C61221">
        <w:rPr>
          <w:sz w:val="28"/>
          <w:szCs w:val="28"/>
          <w:lang w:val="vi-VN" w:eastAsia="zh-CN"/>
        </w:rPr>
        <w:t xml:space="preserve"> nợ</w:t>
      </w:r>
      <w:r w:rsidRPr="00C61221">
        <w:rPr>
          <w:sz w:val="28"/>
          <w:szCs w:val="28"/>
          <w:lang w:eastAsia="zh-CN"/>
        </w:rPr>
        <w:t xml:space="preserve"> dưới</w:t>
      </w:r>
      <w:r w:rsidRPr="00C61221">
        <w:rPr>
          <w:sz w:val="28"/>
          <w:szCs w:val="28"/>
          <w:lang w:val="vi-VN" w:eastAsia="zh-CN"/>
        </w:rPr>
        <w:t xml:space="preserve"> mức </w:t>
      </w:r>
      <w:r w:rsidRPr="00C61221">
        <w:rPr>
          <w:sz w:val="28"/>
          <w:szCs w:val="28"/>
          <w:lang w:eastAsia="zh-CN"/>
        </w:rPr>
        <w:t xml:space="preserve">quy định, đảm bảo các tỷ lệ </w:t>
      </w:r>
      <w:r w:rsidRPr="00C61221">
        <w:rPr>
          <w:sz w:val="28"/>
          <w:szCs w:val="28"/>
          <w:lang w:val="vi-VN" w:eastAsia="zh-CN"/>
        </w:rPr>
        <w:t>an toàn</w:t>
      </w:r>
      <w:r w:rsidRPr="00C61221">
        <w:rPr>
          <w:sz w:val="28"/>
          <w:szCs w:val="28"/>
          <w:lang w:eastAsia="zh-CN"/>
        </w:rPr>
        <w:t xml:space="preserve"> trong hoạt động</w:t>
      </w:r>
      <w:r w:rsidRPr="00C61221">
        <w:rPr>
          <w:sz w:val="28"/>
          <w:szCs w:val="28"/>
          <w:lang w:val="vi-VN" w:eastAsia="zh-CN"/>
        </w:rPr>
        <w:t>; không có QTD</w:t>
      </w:r>
      <w:r w:rsidRPr="00C61221">
        <w:rPr>
          <w:sz w:val="28"/>
          <w:szCs w:val="28"/>
          <w:lang w:eastAsia="zh-CN"/>
        </w:rPr>
        <w:t>ND</w:t>
      </w:r>
      <w:r w:rsidRPr="00C61221">
        <w:rPr>
          <w:sz w:val="28"/>
          <w:szCs w:val="28"/>
          <w:lang w:val="vi-VN" w:eastAsia="zh-CN"/>
        </w:rPr>
        <w:t xml:space="preserve"> đặt vào tình trạng kiểm soát đặc biệt</w:t>
      </w:r>
      <w:r w:rsidRPr="00C61221">
        <w:rPr>
          <w:sz w:val="28"/>
          <w:szCs w:val="28"/>
          <w:lang w:eastAsia="zh-CN"/>
        </w:rPr>
        <w:t xml:space="preserve">. Các QTDND </w:t>
      </w:r>
      <w:r w:rsidRPr="00C61221">
        <w:rPr>
          <w:sz w:val="28"/>
          <w:szCs w:val="28"/>
          <w:lang w:val="vi-VN" w:eastAsia="zh-CN"/>
        </w:rPr>
        <w:t xml:space="preserve">làm tốt công tác vận động người dân gia nhập </w:t>
      </w:r>
      <w:r w:rsidRPr="00C61221">
        <w:rPr>
          <w:sz w:val="28"/>
          <w:szCs w:val="28"/>
          <w:lang w:eastAsia="zh-CN"/>
        </w:rPr>
        <w:t xml:space="preserve">QTDND, </w:t>
      </w:r>
      <w:r w:rsidRPr="00C61221">
        <w:rPr>
          <w:sz w:val="28"/>
          <w:szCs w:val="28"/>
          <w:lang w:val="vi-VN" w:eastAsia="zh-CN"/>
        </w:rPr>
        <w:t>huy động vốn tại chỗ</w:t>
      </w:r>
      <w:r w:rsidRPr="00C61221">
        <w:rPr>
          <w:sz w:val="28"/>
          <w:szCs w:val="28"/>
          <w:lang w:eastAsia="zh-CN"/>
        </w:rPr>
        <w:t xml:space="preserve"> để hỗ trợ, đáp ứng nhu cầu vốn cho thành viên vay phục vụ sản xuất kinh doanh</w:t>
      </w:r>
      <w:r w:rsidRPr="00C61221">
        <w:rPr>
          <w:sz w:val="28"/>
          <w:szCs w:val="28"/>
          <w:lang w:val="vi-VN" w:eastAsia="zh-CN"/>
        </w:rPr>
        <w:t xml:space="preserve">, cải thiện, nâng cao đời sống, </w:t>
      </w:r>
      <w:r w:rsidRPr="00C61221">
        <w:rPr>
          <w:sz w:val="28"/>
          <w:szCs w:val="28"/>
          <w:lang w:val="it-IT" w:eastAsia="zh-CN"/>
        </w:rPr>
        <w:t xml:space="preserve">góp phần </w:t>
      </w:r>
      <w:r w:rsidRPr="00C61221">
        <w:rPr>
          <w:sz w:val="28"/>
          <w:szCs w:val="28"/>
          <w:lang w:val="vi-VN" w:eastAsia="zh-CN"/>
        </w:rPr>
        <w:t>cùng với chính quyền địa phương thực hiện hiệu quả các mục tiêu chương trình quốc gia về xây dựng nông thôn mới</w:t>
      </w:r>
      <w:r w:rsidRPr="00C61221">
        <w:rPr>
          <w:sz w:val="28"/>
          <w:szCs w:val="28"/>
          <w:lang w:val="it-IT" w:eastAsia="zh-CN"/>
        </w:rPr>
        <w:t xml:space="preserve">, góp phần xoá đói giảm nghèo và </w:t>
      </w:r>
      <w:r w:rsidRPr="00C61221">
        <w:rPr>
          <w:rFonts w:eastAsia="NanumGothic"/>
          <w:sz w:val="28"/>
          <w:szCs w:val="28"/>
          <w:lang w:val="vi-VN"/>
        </w:rPr>
        <w:t>chế hoạt động cho vay nặng lãi trên địa bàn nông thôn.</w:t>
      </w:r>
    </w:p>
    <w:p w:rsidR="004517D4" w:rsidRPr="00C61221" w:rsidRDefault="004517D4" w:rsidP="00C61221">
      <w:pPr>
        <w:tabs>
          <w:tab w:val="left" w:pos="0"/>
          <w:tab w:val="left" w:pos="567"/>
          <w:tab w:val="left" w:pos="851"/>
        </w:tabs>
        <w:spacing w:before="60" w:after="60"/>
        <w:ind w:firstLine="720"/>
        <w:jc w:val="both"/>
        <w:rPr>
          <w:b/>
          <w:sz w:val="28"/>
          <w:szCs w:val="28"/>
          <w:lang w:eastAsia="zh-CN"/>
        </w:rPr>
      </w:pPr>
      <w:r w:rsidRPr="00C61221">
        <w:rPr>
          <w:b/>
          <w:sz w:val="28"/>
          <w:szCs w:val="28"/>
          <w:lang w:eastAsia="zh-CN"/>
        </w:rPr>
        <w:t>2.T</w:t>
      </w:r>
      <w:r w:rsidRPr="00C61221">
        <w:rPr>
          <w:b/>
          <w:sz w:val="28"/>
          <w:szCs w:val="28"/>
          <w:lang w:val="vi-VN" w:eastAsia="zh-CN"/>
        </w:rPr>
        <w:t xml:space="preserve">ình hình </w:t>
      </w:r>
      <w:r w:rsidR="00365721">
        <w:rPr>
          <w:b/>
          <w:sz w:val="28"/>
          <w:szCs w:val="28"/>
          <w:lang w:eastAsia="zh-CN"/>
        </w:rPr>
        <w:t>phát triển chung HTX</w:t>
      </w:r>
    </w:p>
    <w:p w:rsidR="004517D4" w:rsidRPr="00C61221" w:rsidRDefault="004517D4" w:rsidP="00C61221">
      <w:pPr>
        <w:tabs>
          <w:tab w:val="left" w:pos="0"/>
          <w:tab w:val="left" w:pos="567"/>
          <w:tab w:val="left" w:pos="851"/>
        </w:tabs>
        <w:spacing w:before="60" w:after="60"/>
        <w:ind w:firstLine="720"/>
        <w:jc w:val="both"/>
        <w:rPr>
          <w:i/>
          <w:sz w:val="28"/>
          <w:szCs w:val="28"/>
          <w:lang w:eastAsia="zh-CN"/>
        </w:rPr>
      </w:pPr>
      <w:r w:rsidRPr="00C61221">
        <w:rPr>
          <w:rFonts w:eastAsia="Arial"/>
          <w:i/>
          <w:sz w:val="28"/>
          <w:szCs w:val="28"/>
          <w:lang w:eastAsia="zh-CN"/>
        </w:rPr>
        <w:t>2.1.</w:t>
      </w:r>
      <w:r w:rsidRPr="00C61221">
        <w:rPr>
          <w:rFonts w:eastAsia="Arial"/>
          <w:b/>
          <w:i/>
          <w:sz w:val="28"/>
          <w:szCs w:val="28"/>
          <w:lang w:eastAsia="zh-CN"/>
        </w:rPr>
        <w:t xml:space="preserve"> </w:t>
      </w:r>
      <w:r w:rsidRPr="00C61221">
        <w:rPr>
          <w:i/>
          <w:sz w:val="28"/>
          <w:szCs w:val="28"/>
          <w:lang w:eastAsia="zh-CN"/>
        </w:rPr>
        <w:t>Số lượng, thành viên  HTX, L</w:t>
      </w:r>
      <w:r w:rsidR="00365721">
        <w:rPr>
          <w:i/>
          <w:sz w:val="28"/>
          <w:szCs w:val="28"/>
          <w:lang w:eastAsia="zh-CN"/>
        </w:rPr>
        <w:t xml:space="preserve">iên hiệp </w:t>
      </w:r>
      <w:r w:rsidRPr="00C61221">
        <w:rPr>
          <w:i/>
          <w:sz w:val="28"/>
          <w:szCs w:val="28"/>
          <w:lang w:eastAsia="zh-CN"/>
        </w:rPr>
        <w:t>HTX giai đoạn 2013</w:t>
      </w:r>
      <w:r w:rsidR="00365721">
        <w:rPr>
          <w:i/>
          <w:sz w:val="28"/>
          <w:szCs w:val="28"/>
          <w:lang w:eastAsia="zh-CN"/>
        </w:rPr>
        <w:t xml:space="preserve"> </w:t>
      </w:r>
      <w:r w:rsidRPr="00C61221">
        <w:rPr>
          <w:i/>
          <w:sz w:val="28"/>
          <w:szCs w:val="28"/>
          <w:lang w:eastAsia="zh-CN"/>
        </w:rPr>
        <w:t>-</w:t>
      </w:r>
      <w:r w:rsidR="00365721">
        <w:rPr>
          <w:i/>
          <w:sz w:val="28"/>
          <w:szCs w:val="28"/>
          <w:lang w:eastAsia="zh-CN"/>
        </w:rPr>
        <w:t xml:space="preserve"> </w:t>
      </w:r>
      <w:r w:rsidRPr="00C61221">
        <w:rPr>
          <w:i/>
          <w:sz w:val="28"/>
          <w:szCs w:val="28"/>
          <w:lang w:eastAsia="zh-CN"/>
        </w:rPr>
        <w:t>2021</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eastAsia="zh-CN"/>
        </w:rPr>
        <w:t xml:space="preserve">- Về HTX: </w:t>
      </w:r>
      <w:r w:rsidR="00365721">
        <w:rPr>
          <w:sz w:val="28"/>
          <w:szCs w:val="28"/>
          <w:lang w:eastAsia="zh-CN"/>
        </w:rPr>
        <w:t>g</w:t>
      </w:r>
      <w:r w:rsidRPr="00C61221">
        <w:rPr>
          <w:sz w:val="28"/>
          <w:szCs w:val="28"/>
          <w:lang w:eastAsia="zh-CN"/>
        </w:rPr>
        <w:t>iai đoạn 2013</w:t>
      </w:r>
      <w:r w:rsidR="00365721">
        <w:rPr>
          <w:sz w:val="28"/>
          <w:szCs w:val="28"/>
          <w:lang w:eastAsia="zh-CN"/>
        </w:rPr>
        <w:t xml:space="preserve"> </w:t>
      </w:r>
      <w:r w:rsidRPr="00C61221">
        <w:rPr>
          <w:sz w:val="28"/>
          <w:szCs w:val="28"/>
          <w:lang w:eastAsia="zh-CN"/>
        </w:rPr>
        <w:t>-</w:t>
      </w:r>
      <w:r w:rsidR="00365721">
        <w:rPr>
          <w:sz w:val="28"/>
          <w:szCs w:val="28"/>
          <w:lang w:eastAsia="zh-CN"/>
        </w:rPr>
        <w:t xml:space="preserve"> </w:t>
      </w:r>
      <w:r w:rsidRPr="00C61221">
        <w:rPr>
          <w:sz w:val="28"/>
          <w:szCs w:val="28"/>
          <w:lang w:eastAsia="zh-CN"/>
        </w:rPr>
        <w:t>2021, toàn tỉnh thành lập mới 106 HTX, giải thể  91 HTX yếu kém không hoạt động. Số HTX toàn Tỉnh ước đến cuối năm 2021 là 214 HTX; trong đó có 209 HTX đang hoạt động.</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eastAsia="zh-CN"/>
        </w:rPr>
        <w:t xml:space="preserve">- Về </w:t>
      </w:r>
      <w:r w:rsidR="00951623">
        <w:rPr>
          <w:sz w:val="28"/>
          <w:szCs w:val="28"/>
          <w:lang w:eastAsia="zh-CN"/>
        </w:rPr>
        <w:t>L</w:t>
      </w:r>
      <w:r w:rsidRPr="00C61221">
        <w:rPr>
          <w:sz w:val="28"/>
          <w:szCs w:val="28"/>
          <w:lang w:eastAsia="zh-CN"/>
        </w:rPr>
        <w:t xml:space="preserve">iên hiệp </w:t>
      </w:r>
      <w:r w:rsidR="00951623">
        <w:rPr>
          <w:sz w:val="28"/>
          <w:szCs w:val="28"/>
          <w:lang w:eastAsia="zh-CN"/>
        </w:rPr>
        <w:t>HTX</w:t>
      </w:r>
      <w:r w:rsidRPr="00C61221">
        <w:rPr>
          <w:sz w:val="28"/>
          <w:szCs w:val="28"/>
          <w:lang w:eastAsia="zh-CN"/>
        </w:rPr>
        <w:t xml:space="preserve"> (LHHTX): </w:t>
      </w:r>
      <w:r w:rsidR="00951623">
        <w:rPr>
          <w:sz w:val="28"/>
          <w:szCs w:val="28"/>
          <w:lang w:eastAsia="zh-CN"/>
        </w:rPr>
        <w:t>g</w:t>
      </w:r>
      <w:r w:rsidRPr="00C61221">
        <w:rPr>
          <w:sz w:val="28"/>
          <w:szCs w:val="28"/>
          <w:lang w:eastAsia="zh-CN"/>
        </w:rPr>
        <w:t>iai đoạn 2013</w:t>
      </w:r>
      <w:r w:rsidR="00951623">
        <w:rPr>
          <w:sz w:val="28"/>
          <w:szCs w:val="28"/>
          <w:lang w:eastAsia="zh-CN"/>
        </w:rPr>
        <w:t xml:space="preserve"> </w:t>
      </w:r>
      <w:r w:rsidRPr="00C61221">
        <w:rPr>
          <w:sz w:val="28"/>
          <w:szCs w:val="28"/>
          <w:lang w:eastAsia="zh-CN"/>
        </w:rPr>
        <w:t>-</w:t>
      </w:r>
      <w:r w:rsidR="00951623">
        <w:rPr>
          <w:sz w:val="28"/>
          <w:szCs w:val="28"/>
          <w:lang w:eastAsia="zh-CN"/>
        </w:rPr>
        <w:t xml:space="preserve"> </w:t>
      </w:r>
      <w:r w:rsidRPr="00C61221">
        <w:rPr>
          <w:sz w:val="28"/>
          <w:szCs w:val="28"/>
          <w:lang w:eastAsia="zh-CN"/>
        </w:rPr>
        <w:t>2021, trên địa bàn Tỉnh có 01 LHHTX nhưng đã ngừng hoạt động và giải thể theo quy định.</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eastAsia="zh-CN"/>
        </w:rPr>
        <w:t>- Số lượng thành viên HTX đến cuối năm 2021 là 54.600 người (giảm 15 thành viên so thời điểm 2013). Có 1.000 thành viên mới (giảm 3.500 thành viên m</w:t>
      </w:r>
      <w:r w:rsidR="00951623">
        <w:rPr>
          <w:sz w:val="28"/>
          <w:szCs w:val="28"/>
          <w:lang w:eastAsia="zh-CN"/>
        </w:rPr>
        <w:t xml:space="preserve">ới so với thời điểm năm 2013). </w:t>
      </w:r>
      <w:r w:rsidRPr="00C61221">
        <w:rPr>
          <w:sz w:val="28"/>
          <w:szCs w:val="28"/>
          <w:lang w:eastAsia="zh-CN"/>
        </w:rPr>
        <w:t>Số lao động làm việc tại HTX là 2.784 lao động (giảm 1.456 lao động so với thời điểm năm 2013). Có 105 lao động thường xuyên mới (giảm 695 lao động so với thời điểm năm 2013).</w:t>
      </w:r>
      <w:r w:rsidR="00951623">
        <w:rPr>
          <w:sz w:val="28"/>
          <w:szCs w:val="28"/>
          <w:lang w:eastAsia="zh-CN"/>
        </w:rPr>
        <w:t xml:space="preserve"> </w:t>
      </w:r>
      <w:r w:rsidRPr="00C61221">
        <w:rPr>
          <w:sz w:val="28"/>
          <w:szCs w:val="28"/>
          <w:lang w:eastAsia="zh-CN"/>
        </w:rPr>
        <w:t xml:space="preserve">Doanh thu bình quân của 01 HTX giai đoạn 2013-2021 là 2.500 triệu đồng/năm, tăng 1.600 triệu </w:t>
      </w:r>
      <w:r w:rsidRPr="00C61221">
        <w:rPr>
          <w:sz w:val="28"/>
          <w:szCs w:val="28"/>
          <w:lang w:eastAsia="zh-CN"/>
        </w:rPr>
        <w:lastRenderedPageBreak/>
        <w:t>đồng so với thời điểm năm 2012. Doanh thu của HTX giai đoạn 2013</w:t>
      </w:r>
      <w:r w:rsidR="00951623">
        <w:rPr>
          <w:sz w:val="28"/>
          <w:szCs w:val="28"/>
          <w:lang w:eastAsia="zh-CN"/>
        </w:rPr>
        <w:t xml:space="preserve"> </w:t>
      </w:r>
      <w:r w:rsidRPr="00C61221">
        <w:rPr>
          <w:sz w:val="28"/>
          <w:szCs w:val="28"/>
          <w:lang w:eastAsia="zh-CN"/>
        </w:rPr>
        <w:t>-</w:t>
      </w:r>
      <w:r w:rsidR="00951623">
        <w:rPr>
          <w:sz w:val="28"/>
          <w:szCs w:val="28"/>
          <w:lang w:eastAsia="zh-CN"/>
        </w:rPr>
        <w:t xml:space="preserve"> </w:t>
      </w:r>
      <w:r w:rsidRPr="00C61221">
        <w:rPr>
          <w:sz w:val="28"/>
          <w:szCs w:val="28"/>
          <w:lang w:eastAsia="zh-CN"/>
        </w:rPr>
        <w:t>2021 đối với thành viên là 1.613 triệu đồng, tăng 1.163 triệu đồng so với năm 2012.</w:t>
      </w:r>
      <w:r w:rsidR="00951623">
        <w:rPr>
          <w:sz w:val="28"/>
          <w:szCs w:val="28"/>
          <w:lang w:eastAsia="zh-CN"/>
        </w:rPr>
        <w:t xml:space="preserve"> </w:t>
      </w:r>
      <w:r w:rsidRPr="00C61221">
        <w:rPr>
          <w:sz w:val="28"/>
          <w:szCs w:val="28"/>
          <w:lang w:eastAsia="zh-CN"/>
        </w:rPr>
        <w:t>Lãi bình quân của 01 HTX giai đoạn 2013-2021 là 278 triệu đồng/năm, tăng 148 triệu đồng so với năm 2012.</w:t>
      </w:r>
      <w:r w:rsidR="00951623">
        <w:rPr>
          <w:sz w:val="28"/>
          <w:szCs w:val="28"/>
          <w:lang w:eastAsia="zh-CN"/>
        </w:rPr>
        <w:t xml:space="preserve"> </w:t>
      </w:r>
      <w:r w:rsidRPr="00C61221">
        <w:rPr>
          <w:sz w:val="28"/>
          <w:szCs w:val="28"/>
          <w:lang w:eastAsia="zh-CN"/>
        </w:rPr>
        <w:t>Thu nhập bình quân của 01 lao động thường xuyên tại 1 HTX là 54 triệu, tăng 28 triệu đồng so với năm 2012.</w:t>
      </w:r>
    </w:p>
    <w:p w:rsidR="004517D4" w:rsidRPr="00C61221" w:rsidRDefault="00951623" w:rsidP="00951623">
      <w:pPr>
        <w:spacing w:before="60" w:after="60"/>
        <w:ind w:firstLine="720"/>
        <w:jc w:val="both"/>
        <w:rPr>
          <w:sz w:val="28"/>
          <w:szCs w:val="28"/>
          <w:lang w:eastAsia="zh-CN"/>
        </w:rPr>
      </w:pPr>
      <w:r>
        <w:rPr>
          <w:sz w:val="28"/>
          <w:szCs w:val="28"/>
          <w:lang w:eastAsia="zh-CN"/>
        </w:rPr>
        <w:t xml:space="preserve">- </w:t>
      </w:r>
      <w:r w:rsidR="004517D4" w:rsidRPr="00951623">
        <w:rPr>
          <w:spacing w:val="-2"/>
          <w:sz w:val="28"/>
          <w:szCs w:val="28"/>
          <w:lang w:val="vi-VN" w:eastAsia="zh-CN"/>
        </w:rPr>
        <w:t xml:space="preserve">Tình hình cung ứng sản phẩm dịch vụ cho thành viên: </w:t>
      </w:r>
      <w:r w:rsidRPr="00951623">
        <w:rPr>
          <w:spacing w:val="-2"/>
          <w:sz w:val="28"/>
          <w:szCs w:val="28"/>
          <w:lang w:eastAsia="zh-CN"/>
        </w:rPr>
        <w:t>q</w:t>
      </w:r>
      <w:r w:rsidR="004517D4" w:rsidRPr="00951623">
        <w:rPr>
          <w:spacing w:val="-2"/>
          <w:sz w:val="28"/>
          <w:szCs w:val="28"/>
          <w:lang w:val="vi-VN" w:eastAsia="zh-CN"/>
        </w:rPr>
        <w:t xml:space="preserve">ua triển khai hoạt động theo Luật </w:t>
      </w:r>
      <w:r w:rsidRPr="00951623">
        <w:rPr>
          <w:spacing w:val="-2"/>
          <w:sz w:val="28"/>
          <w:szCs w:val="28"/>
          <w:lang w:eastAsia="zh-CN"/>
        </w:rPr>
        <w:t>HTX</w:t>
      </w:r>
      <w:r w:rsidR="004517D4" w:rsidRPr="00951623">
        <w:rPr>
          <w:spacing w:val="-2"/>
          <w:sz w:val="28"/>
          <w:szCs w:val="28"/>
          <w:lang w:val="vi-VN" w:eastAsia="zh-CN"/>
        </w:rPr>
        <w:t xml:space="preserve"> 2012, chất lượng cung ứng sản phẩm, dịch vụ đối với thành viên của nhiều HTX được nâng lên, phát triển và đa dạng sản phẩm, dịch vụ, đáp ứng một phần nhu cầu cơ bản về hợp tác và sản xuất của thành viên như hỗ trợ vốn thành viên, liên kết sản xuất và tiêu thụ sản phẩm, cung cấp nước sạch….</w:t>
      </w:r>
    </w:p>
    <w:p w:rsidR="004517D4" w:rsidRPr="00C61221"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val="vi-VN" w:eastAsia="zh-CN"/>
        </w:rPr>
        <w:t>Tuy vốn HTX qua từng năm có tăng nhưng tăng tương đối không nhiều, dẫn đến nhu cầu vốn để sản xuất, kinh doanh còn rất lớn.</w:t>
      </w:r>
      <w:r w:rsidR="00951623">
        <w:rPr>
          <w:sz w:val="28"/>
          <w:szCs w:val="28"/>
          <w:lang w:eastAsia="zh-CN"/>
        </w:rPr>
        <w:t xml:space="preserve"> </w:t>
      </w:r>
      <w:r w:rsidRPr="00C61221">
        <w:rPr>
          <w:sz w:val="28"/>
          <w:szCs w:val="28"/>
          <w:lang w:val="vi-VN" w:eastAsia="zh-CN"/>
        </w:rPr>
        <w:t xml:space="preserve">Thực hiện chủ trương và xu thế hiện nay là các HTX có quy mô nhỏ, hiệu quả thấp sáp nhập, hợp nhất thành HTX có quy mô lớn để tăng quy mô, cung cấp các sản phẩm, dịch vụ có chất lượng, đa dạng sản phẩm đáp ứng nhu cầu sản xuất cho thành viên và người dân, tăng sức cạnh tranh và hoạt động có hiệu quả hơn. Đây là một trong những giải pháp củng cố và phát triển HTX. </w:t>
      </w:r>
      <w:r w:rsidRPr="00C61221">
        <w:rPr>
          <w:sz w:val="28"/>
          <w:szCs w:val="28"/>
          <w:lang w:val="vi-VN" w:eastAsia="zh-CN"/>
        </w:rPr>
        <w:tab/>
        <w:t xml:space="preserve">Việc tiến hành hợp nhất, sáp nhập hầu hết xuất phát từ các hợp tác xã nông nghiệp, có đến 18 HTX nông nghiệp đã sáp nhập, hợp nhất vào các </w:t>
      </w:r>
      <w:r w:rsidR="00951623">
        <w:rPr>
          <w:sz w:val="28"/>
          <w:szCs w:val="28"/>
          <w:lang w:eastAsia="zh-CN"/>
        </w:rPr>
        <w:t>HTX</w:t>
      </w:r>
      <w:r w:rsidRPr="00C61221">
        <w:rPr>
          <w:sz w:val="28"/>
          <w:szCs w:val="28"/>
          <w:lang w:val="vi-VN" w:eastAsia="zh-CN"/>
        </w:rPr>
        <w:t xml:space="preserve"> khác. Nổi bật thành lập trên cở sở hợp nhất, sáp nhập như huyện Hồng Ngự có 4 HTX nông nghiệp hợp nhất thành HTX Phước Tiền, có 11 HTX nông nghiệp hợp nhất thành HTX Long Phú Thuận. Huyện Tháp Mười: HTX DV NN Toàn Thắng sáp nhập vào HTX Thắng Lợi. </w:t>
      </w:r>
    </w:p>
    <w:p w:rsidR="004517D4" w:rsidRPr="00C61221" w:rsidRDefault="00951623" w:rsidP="00C61221">
      <w:pPr>
        <w:tabs>
          <w:tab w:val="left" w:pos="0"/>
          <w:tab w:val="left" w:pos="567"/>
          <w:tab w:val="left" w:pos="851"/>
        </w:tabs>
        <w:spacing w:before="60" w:after="60"/>
        <w:ind w:firstLine="720"/>
        <w:jc w:val="both"/>
        <w:rPr>
          <w:i/>
          <w:sz w:val="28"/>
          <w:szCs w:val="28"/>
          <w:lang w:eastAsia="zh-CN"/>
        </w:rPr>
      </w:pPr>
      <w:r>
        <w:rPr>
          <w:i/>
          <w:sz w:val="28"/>
          <w:szCs w:val="28"/>
          <w:lang w:eastAsia="zh-CN"/>
        </w:rPr>
        <w:t>2.2. Tổ chức, quản lý HTX</w:t>
      </w:r>
    </w:p>
    <w:p w:rsidR="004517D4" w:rsidRPr="00C61221" w:rsidRDefault="004517D4" w:rsidP="00C61221">
      <w:pPr>
        <w:tabs>
          <w:tab w:val="left" w:pos="0"/>
          <w:tab w:val="left" w:pos="567"/>
          <w:tab w:val="left" w:pos="851"/>
        </w:tabs>
        <w:spacing w:before="60" w:after="60"/>
        <w:ind w:firstLine="720"/>
        <w:jc w:val="both"/>
        <w:rPr>
          <w:b/>
          <w:sz w:val="28"/>
          <w:szCs w:val="28"/>
          <w:lang w:eastAsia="zh-CN"/>
        </w:rPr>
      </w:pPr>
      <w:r w:rsidRPr="00C61221">
        <w:rPr>
          <w:b/>
          <w:sz w:val="28"/>
          <w:szCs w:val="28"/>
          <w:lang w:eastAsia="zh-CN"/>
        </w:rPr>
        <w:tab/>
      </w:r>
      <w:r w:rsidRPr="00C61221">
        <w:rPr>
          <w:sz w:val="28"/>
          <w:szCs w:val="28"/>
          <w:lang w:eastAsia="zh-CN"/>
        </w:rPr>
        <w:t xml:space="preserve">Tổng số cán bộ quản lý HTX đến năm 2021 là 1.106 người trong đó: </w:t>
      </w:r>
      <w:r w:rsidR="00951623">
        <w:rPr>
          <w:sz w:val="28"/>
          <w:szCs w:val="28"/>
          <w:lang w:eastAsia="zh-CN"/>
        </w:rPr>
        <w:t>c</w:t>
      </w:r>
      <w:r w:rsidRPr="00C61221">
        <w:rPr>
          <w:sz w:val="28"/>
          <w:szCs w:val="28"/>
          <w:lang w:eastAsia="zh-CN"/>
        </w:rPr>
        <w:t>án bộ quản lý đã qua đào tạo trình độ sơ cấp, trung cấp: 309 người chiếm 27,9 % cán bộ quản lý HTX</w:t>
      </w:r>
      <w:r w:rsidR="00951623">
        <w:rPr>
          <w:sz w:val="28"/>
          <w:szCs w:val="28"/>
          <w:lang w:eastAsia="zh-CN"/>
        </w:rPr>
        <w:t>; c</w:t>
      </w:r>
      <w:r w:rsidRPr="00C61221">
        <w:rPr>
          <w:sz w:val="28"/>
          <w:szCs w:val="28"/>
          <w:lang w:eastAsia="zh-CN"/>
        </w:rPr>
        <w:t>án bộ quản lý đã qua đào tạo trình độ cao đẳng, đại học: 210 người chiếm 18,9% tổng số cán bộ quản lý HTX.</w:t>
      </w:r>
    </w:p>
    <w:p w:rsidR="004517D4" w:rsidRPr="00053F30" w:rsidRDefault="004517D4" w:rsidP="00053F30">
      <w:pPr>
        <w:spacing w:before="60" w:after="60"/>
        <w:ind w:firstLine="720"/>
        <w:jc w:val="both"/>
        <w:rPr>
          <w:spacing w:val="-6"/>
          <w:sz w:val="28"/>
          <w:szCs w:val="28"/>
          <w:lang w:eastAsia="zh-CN"/>
        </w:rPr>
      </w:pPr>
      <w:r w:rsidRPr="00053F30">
        <w:rPr>
          <w:spacing w:val="-6"/>
          <w:sz w:val="28"/>
          <w:szCs w:val="28"/>
          <w:lang w:eastAsia="zh-CN"/>
        </w:rPr>
        <w:t>Nhìn chung, trình độ cán bộ quản lý tại các HTX đã qua đào tạo có xu hướng tăng dần. Đều đó thấy được nhận thức của đội ngũ cán bộ dần nâng lên, về trình độ quản lý và vận hành HTX, kiến thức về kinh doanh, chuyên môn kỹ thuật…</w:t>
      </w:r>
    </w:p>
    <w:p w:rsidR="004517D4" w:rsidRPr="00C61221" w:rsidRDefault="00053F30" w:rsidP="00C61221">
      <w:pPr>
        <w:tabs>
          <w:tab w:val="left" w:pos="0"/>
          <w:tab w:val="left" w:pos="567"/>
          <w:tab w:val="left" w:pos="851"/>
        </w:tabs>
        <w:spacing w:before="60" w:after="60"/>
        <w:ind w:firstLine="720"/>
        <w:jc w:val="both"/>
        <w:rPr>
          <w:i/>
          <w:sz w:val="28"/>
          <w:szCs w:val="28"/>
          <w:lang w:eastAsia="zh-CN"/>
        </w:rPr>
      </w:pPr>
      <w:r>
        <w:rPr>
          <w:i/>
          <w:sz w:val="28"/>
          <w:szCs w:val="28"/>
          <w:lang w:eastAsia="zh-CN"/>
        </w:rPr>
        <w:t>2.3. Hiệu quả hoạt động của HTX</w:t>
      </w:r>
    </w:p>
    <w:p w:rsidR="00053F30" w:rsidRDefault="004517D4" w:rsidP="00C61221">
      <w:pPr>
        <w:tabs>
          <w:tab w:val="left" w:pos="0"/>
          <w:tab w:val="left" w:pos="567"/>
          <w:tab w:val="left" w:pos="851"/>
        </w:tabs>
        <w:spacing w:before="60" w:after="60"/>
        <w:ind w:firstLine="720"/>
        <w:jc w:val="both"/>
        <w:rPr>
          <w:sz w:val="28"/>
          <w:szCs w:val="28"/>
          <w:lang w:eastAsia="zh-CN"/>
        </w:rPr>
      </w:pPr>
      <w:r w:rsidRPr="00C61221">
        <w:rPr>
          <w:sz w:val="28"/>
          <w:szCs w:val="28"/>
          <w:lang w:val="vi-VN" w:eastAsia="zh-CN"/>
        </w:rPr>
        <w:tab/>
        <w:t xml:space="preserve">Thời gian qua, tỉnh Đồng Tháp đã tập trung xây dựng nhiều mô hình HTX hoạt động theo Luật </w:t>
      </w:r>
      <w:r w:rsidR="00053F30">
        <w:rPr>
          <w:sz w:val="28"/>
          <w:szCs w:val="28"/>
          <w:lang w:eastAsia="zh-CN"/>
        </w:rPr>
        <w:t>HTX</w:t>
      </w:r>
      <w:r w:rsidRPr="00C61221">
        <w:rPr>
          <w:sz w:val="28"/>
          <w:szCs w:val="28"/>
          <w:lang w:val="vi-VN" w:eastAsia="zh-CN"/>
        </w:rPr>
        <w:t xml:space="preserve"> năm 2012 đạt hiệu quả tích cực. Nhiều hợp tác xã tăng vốn, thu hút thành viên, áp dụng tiến bộ khoa học kỹ thuật trong cải tạo đồng ruộng, tăng năng lực cạnh trạnh của sản phẩm, đa dạng hóa sản phẩm, dịch vụ cung ứng cho thành viên và thị trường bên ngoài trong từng lĩnh vực, đặc biệt là lĩnh vực nông nghiệp.</w:t>
      </w:r>
      <w:r w:rsidR="00053F30">
        <w:rPr>
          <w:sz w:val="28"/>
          <w:szCs w:val="28"/>
          <w:lang w:eastAsia="zh-CN"/>
        </w:rPr>
        <w:t xml:space="preserve"> </w:t>
      </w:r>
      <w:r w:rsidRPr="00C61221">
        <w:rPr>
          <w:sz w:val="28"/>
          <w:szCs w:val="28"/>
          <w:lang w:val="pt-BR" w:eastAsia="zh-CN"/>
        </w:rPr>
        <w:t>T</w:t>
      </w:r>
      <w:r w:rsidRPr="00C61221">
        <w:rPr>
          <w:sz w:val="28"/>
          <w:szCs w:val="28"/>
          <w:lang w:val="vi-VN" w:eastAsia="zh-CN"/>
        </w:rPr>
        <w:t>ổng vốn hoạt động của 178 HTXNN là 290.140 triệu đồng (tăng 147.661 triệu đồng so với năm 2013), bình quân 1.630 triệu đồng/HTX. Doanh thu bình quân 01 HTX là 2.173 triệu đồng, tăng 1.449 triệu đồng so với năm 2013. Lợi nhuận bình quân 01 HTX là 267 triệu đồng, tăng 146 triệu đồng so với năm 2013. Thu nhập bình quân 01 lao động thường xuyên 5</w:t>
      </w:r>
      <w:r w:rsidRPr="00C61221">
        <w:rPr>
          <w:sz w:val="28"/>
          <w:szCs w:val="28"/>
          <w:lang w:eastAsia="zh-CN"/>
        </w:rPr>
        <w:t>4</w:t>
      </w:r>
      <w:r w:rsidRPr="00C61221">
        <w:rPr>
          <w:sz w:val="28"/>
          <w:szCs w:val="28"/>
          <w:lang w:val="vi-VN" w:eastAsia="zh-CN"/>
        </w:rPr>
        <w:t xml:space="preserve"> triệu đồng/năm, tăng 28 triệu đồng so với năm 2013.</w:t>
      </w:r>
      <w:r w:rsidR="00053F30">
        <w:rPr>
          <w:sz w:val="28"/>
          <w:szCs w:val="28"/>
          <w:lang w:eastAsia="zh-CN"/>
        </w:rPr>
        <w:t xml:space="preserve"> </w:t>
      </w:r>
    </w:p>
    <w:p w:rsidR="004517D4" w:rsidRPr="00C61221" w:rsidRDefault="00053F30" w:rsidP="00053F30">
      <w:pPr>
        <w:tabs>
          <w:tab w:val="left" w:pos="0"/>
          <w:tab w:val="left" w:pos="567"/>
          <w:tab w:val="left" w:pos="851"/>
        </w:tabs>
        <w:spacing w:before="60" w:after="60"/>
        <w:ind w:firstLine="720"/>
        <w:jc w:val="both"/>
        <w:rPr>
          <w:sz w:val="28"/>
          <w:szCs w:val="28"/>
          <w:shd w:val="clear" w:color="auto" w:fill="FFFFFF"/>
          <w:lang w:eastAsia="zh-CN"/>
        </w:rPr>
      </w:pPr>
      <w:r>
        <w:rPr>
          <w:sz w:val="28"/>
          <w:szCs w:val="28"/>
          <w:lang w:eastAsia="zh-CN"/>
        </w:rPr>
        <w:t>C</w:t>
      </w:r>
      <w:r w:rsidR="004517D4" w:rsidRPr="00C61221">
        <w:rPr>
          <w:sz w:val="28"/>
          <w:szCs w:val="28"/>
          <w:lang w:eastAsia="zh-CN"/>
        </w:rPr>
        <w:t xml:space="preserve">ác </w:t>
      </w:r>
      <w:r w:rsidR="004517D4" w:rsidRPr="00C61221">
        <w:rPr>
          <w:sz w:val="28"/>
          <w:szCs w:val="28"/>
          <w:lang w:val="vi-VN" w:eastAsia="zh-CN"/>
        </w:rPr>
        <w:t xml:space="preserve">HTX </w:t>
      </w:r>
      <w:r w:rsidR="004517D4" w:rsidRPr="00C61221">
        <w:rPr>
          <w:sz w:val="28"/>
          <w:szCs w:val="28"/>
          <w:lang w:eastAsia="zh-CN"/>
        </w:rPr>
        <w:t>đã có những chuyển biến trong</w:t>
      </w:r>
      <w:r w:rsidR="004517D4" w:rsidRPr="00C61221">
        <w:rPr>
          <w:sz w:val="28"/>
          <w:szCs w:val="28"/>
          <w:lang w:val="vi-VN" w:eastAsia="zh-CN"/>
        </w:rPr>
        <w:t xml:space="preserve"> phương thức hoạt động, đầu tư, liên kết, liên doanh, sản xuất gắn với chuỗi giá trị với các thành phần kinh tế khác</w:t>
      </w:r>
      <w:r w:rsidR="004517D4" w:rsidRPr="00C61221">
        <w:rPr>
          <w:sz w:val="28"/>
          <w:szCs w:val="28"/>
          <w:lang w:eastAsia="zh-CN"/>
        </w:rPr>
        <w:t>.</w:t>
      </w:r>
      <w:r>
        <w:rPr>
          <w:sz w:val="28"/>
          <w:szCs w:val="28"/>
          <w:lang w:eastAsia="zh-CN"/>
        </w:rPr>
        <w:t xml:space="preserve"> </w:t>
      </w:r>
      <w:r w:rsidR="004517D4" w:rsidRPr="00C61221">
        <w:rPr>
          <w:sz w:val="28"/>
          <w:szCs w:val="28"/>
          <w:lang w:eastAsia="zh-CN"/>
        </w:rPr>
        <w:t xml:space="preserve">Các HTX sau khi chuyển đổi đã củng cố tổ chức bộ máy, thay đổi phương </w:t>
      </w:r>
      <w:r w:rsidR="004517D4" w:rsidRPr="00C61221">
        <w:rPr>
          <w:sz w:val="28"/>
          <w:szCs w:val="28"/>
          <w:lang w:eastAsia="zh-CN"/>
        </w:rPr>
        <w:lastRenderedPageBreak/>
        <w:t>thức điều hành, xử lý có hiệu quả những vấn đề tồn đọng về nguồn vốn, tài sản, công nợ; thực hiện khá tốt công tác quản lý kênh mương th</w:t>
      </w:r>
      <w:r w:rsidR="00015662">
        <w:rPr>
          <w:sz w:val="28"/>
          <w:szCs w:val="28"/>
          <w:lang w:eastAsia="zh-CN"/>
        </w:rPr>
        <w:t>uỷ</w:t>
      </w:r>
      <w:r w:rsidR="004517D4" w:rsidRPr="00C61221">
        <w:rPr>
          <w:sz w:val="28"/>
          <w:szCs w:val="28"/>
          <w:lang w:eastAsia="zh-CN"/>
        </w:rPr>
        <w:t xml:space="preserve"> lợi và dịch vụ th</w:t>
      </w:r>
      <w:r w:rsidR="00015662">
        <w:rPr>
          <w:sz w:val="28"/>
          <w:szCs w:val="28"/>
          <w:lang w:eastAsia="zh-CN"/>
        </w:rPr>
        <w:t>uỷ</w:t>
      </w:r>
      <w:r w:rsidR="004517D4" w:rsidRPr="00C61221">
        <w:rPr>
          <w:sz w:val="28"/>
          <w:szCs w:val="28"/>
          <w:lang w:eastAsia="zh-CN"/>
        </w:rPr>
        <w:t xml:space="preserve"> nông, cung ứng giống, vật tư nông nghiệp, tham gia xây dựng k</w:t>
      </w:r>
      <w:r>
        <w:rPr>
          <w:sz w:val="28"/>
          <w:szCs w:val="28"/>
          <w:lang w:eastAsia="zh-CN"/>
        </w:rPr>
        <w:t xml:space="preserve">ết cấu hạ tầng phục vụ sản xuất. </w:t>
      </w:r>
      <w:r w:rsidR="004517D4" w:rsidRPr="00C61221">
        <w:rPr>
          <w:sz w:val="28"/>
          <w:szCs w:val="28"/>
          <w:lang w:val="zu-ZA" w:eastAsia="zh-CN"/>
        </w:rPr>
        <w:t xml:space="preserve">Trong khi đó, thành viên và người lao động khi tham gia vào THT, HTX thì được tham gia học tập để nâng cao kiến thức, tay nghề, được áp dụng, chuyển giao </w:t>
      </w:r>
      <w:r w:rsidR="004517D4" w:rsidRPr="00C61221">
        <w:rPr>
          <w:sz w:val="28"/>
          <w:szCs w:val="28"/>
          <w:shd w:val="clear" w:color="auto" w:fill="FFFFFF"/>
          <w:lang w:val="zu-ZA" w:eastAsia="zh-CN"/>
        </w:rPr>
        <w:t xml:space="preserve">kỹ thuật sản xuất nông nghiệp tiên tiến,  hỗ trợ </w:t>
      </w:r>
      <w:r w:rsidR="004517D4" w:rsidRPr="00C61221">
        <w:rPr>
          <w:sz w:val="28"/>
          <w:szCs w:val="28"/>
          <w:lang w:val="vi-VN" w:eastAsia="zh-CN"/>
        </w:rPr>
        <w:t xml:space="preserve">tổ chức sản xuất tập trung theo quy mô lớn, </w:t>
      </w:r>
      <w:r w:rsidR="004517D4" w:rsidRPr="00C61221">
        <w:rPr>
          <w:sz w:val="28"/>
          <w:szCs w:val="28"/>
          <w:shd w:val="clear" w:color="auto" w:fill="FFFFFF"/>
          <w:lang w:val="vi-VN" w:eastAsia="zh-CN"/>
        </w:rPr>
        <w:t>khép kín</w:t>
      </w:r>
      <w:r w:rsidR="004517D4" w:rsidRPr="00C61221">
        <w:rPr>
          <w:sz w:val="28"/>
          <w:szCs w:val="28"/>
          <w:shd w:val="clear" w:color="auto" w:fill="FFFFFF"/>
          <w:lang w:eastAsia="zh-CN"/>
        </w:rPr>
        <w:t xml:space="preserve"> </w:t>
      </w:r>
      <w:r w:rsidR="004517D4" w:rsidRPr="00C61221">
        <w:rPr>
          <w:sz w:val="28"/>
          <w:szCs w:val="28"/>
          <w:shd w:val="clear" w:color="auto" w:fill="FFFFFF"/>
          <w:lang w:val="vi-VN" w:eastAsia="zh-CN"/>
        </w:rPr>
        <w:t xml:space="preserve">gắn với áp dụng tiến bộ khoa học và kỹ thuật mới vào tất cả các khâu trong quá trình sản xuất, từ vệ sinh, cải tạo, sử dụng giống, chăm sóc, quản lý dịch bệnh cho đến sơ chế, bảo quản sản phẩm; góp phần nâng cao chất lượng sản phẩm, tạo sự đồng đều về kích thướt, mẫu mã; sự đồng nhất về chất lượng, nhất là </w:t>
      </w:r>
      <w:r w:rsidR="004517D4" w:rsidRPr="00C61221">
        <w:rPr>
          <w:sz w:val="28"/>
          <w:szCs w:val="28"/>
          <w:lang w:val="vi-VN" w:eastAsia="zh-CN"/>
        </w:rPr>
        <w:t>đảm bảo các tiêu chuẩn chất lượng sản phẩm theo tiêu chuẩn VietG</w:t>
      </w:r>
      <w:r>
        <w:rPr>
          <w:sz w:val="28"/>
          <w:szCs w:val="28"/>
          <w:lang w:eastAsia="zh-CN"/>
        </w:rPr>
        <w:t>AP</w:t>
      </w:r>
      <w:r w:rsidR="004517D4" w:rsidRPr="00C61221">
        <w:rPr>
          <w:sz w:val="28"/>
          <w:szCs w:val="28"/>
          <w:lang w:val="vi-VN" w:eastAsia="zh-CN"/>
        </w:rPr>
        <w:t>, OCOP,…; tạo cơ sở để thực hiện truy suất nguồn gốc, cùng nhau xây dựng nhãn hiệu tập thể, hình thành thương hiệu sản phẩm của HTX,…</w:t>
      </w:r>
      <w:r w:rsidR="004517D4" w:rsidRPr="00C61221">
        <w:rPr>
          <w:sz w:val="28"/>
          <w:szCs w:val="28"/>
          <w:shd w:val="clear" w:color="auto" w:fill="FFFFFF"/>
          <w:lang w:val="vi-VN" w:eastAsia="zh-CN"/>
        </w:rPr>
        <w:t xml:space="preserve"> giúp cho các sản phẩm của thành viên tăng cao được sức cạnh trạnh trên thị trường, gia tăng được giá trị</w:t>
      </w:r>
      <w:r w:rsidR="004517D4" w:rsidRPr="00C61221">
        <w:rPr>
          <w:sz w:val="28"/>
          <w:szCs w:val="28"/>
          <w:shd w:val="clear" w:color="auto" w:fill="FFFFFF"/>
          <w:lang w:eastAsia="zh-CN"/>
        </w:rPr>
        <w:t>.</w:t>
      </w:r>
    </w:p>
    <w:p w:rsidR="004517D4" w:rsidRPr="00C61221" w:rsidRDefault="004517D4" w:rsidP="00053F30">
      <w:pPr>
        <w:shd w:val="clear" w:color="auto" w:fill="FFFFFF"/>
        <w:spacing w:before="60" w:after="60"/>
        <w:ind w:firstLine="720"/>
        <w:jc w:val="both"/>
        <w:rPr>
          <w:rFonts w:eastAsia="Calibri"/>
          <w:bCs/>
          <w:sz w:val="28"/>
          <w:szCs w:val="28"/>
        </w:rPr>
      </w:pPr>
      <w:r w:rsidRPr="00C61221">
        <w:rPr>
          <w:sz w:val="28"/>
          <w:szCs w:val="28"/>
          <w:lang w:val="vi-VN" w:eastAsia="zh-CN"/>
        </w:rPr>
        <w:t xml:space="preserve">Việc cùng nhau thực hiện các hoạt động mua chung thông qua HTX để cung ứng các loại vật tư đầu vào </w:t>
      </w:r>
      <w:r w:rsidRPr="00C61221">
        <w:rPr>
          <w:sz w:val="28"/>
          <w:szCs w:val="28"/>
          <w:lang w:eastAsia="zh-CN"/>
        </w:rPr>
        <w:t xml:space="preserve">với giá cả </w:t>
      </w:r>
      <w:r w:rsidRPr="00C61221">
        <w:rPr>
          <w:sz w:val="28"/>
          <w:szCs w:val="28"/>
          <w:lang w:val="vi-VN" w:eastAsia="zh-CN"/>
        </w:rPr>
        <w:t>rẻ hơn và chất lượng được đảm</w:t>
      </w:r>
      <w:r w:rsidRPr="00C61221">
        <w:rPr>
          <w:sz w:val="28"/>
          <w:szCs w:val="28"/>
          <w:lang w:eastAsia="zh-CN"/>
        </w:rPr>
        <w:t xml:space="preserve"> bảo, tiết kiệm chi phí, cùng với việc </w:t>
      </w:r>
      <w:r w:rsidRPr="00C61221">
        <w:rPr>
          <w:sz w:val="28"/>
          <w:szCs w:val="28"/>
          <w:lang w:val="vi-VN" w:eastAsia="zh-CN"/>
        </w:rPr>
        <w:t>bán chung các sản phẩm thông qua HTX</w:t>
      </w:r>
      <w:r w:rsidRPr="00C61221">
        <w:rPr>
          <w:sz w:val="28"/>
          <w:szCs w:val="28"/>
          <w:lang w:eastAsia="zh-CN"/>
        </w:rPr>
        <w:t xml:space="preserve"> </w:t>
      </w:r>
      <w:r w:rsidRPr="00C61221">
        <w:rPr>
          <w:sz w:val="28"/>
          <w:szCs w:val="28"/>
          <w:lang w:val="vi-VN" w:eastAsia="zh-CN"/>
        </w:rPr>
        <w:t>giúp cho việc tiêu thụ nông sản của thành viên sẽ đạt hiệu quả cao hơn so với từng hộ bán riêng lẻ; giá bán sẽ ổn định hơn</w:t>
      </w:r>
      <w:r w:rsidRPr="00C61221">
        <w:rPr>
          <w:sz w:val="28"/>
          <w:szCs w:val="28"/>
          <w:lang w:eastAsia="zh-CN"/>
        </w:rPr>
        <w:t xml:space="preserve">, đồng thời cũng vừa giúp </w:t>
      </w:r>
      <w:r w:rsidRPr="00C61221">
        <w:rPr>
          <w:sz w:val="28"/>
          <w:szCs w:val="28"/>
          <w:lang w:val="vi-VN" w:eastAsia="zh-CN"/>
        </w:rPr>
        <w:t xml:space="preserve"> doanh nghiệp dễ dàng thu mua được khối lượng nông sản lớn, đồng đều về chất lượng và đảm bảo an toàn thực phẩm, có nguồn gốc rõ ràng do được sự giám sát và cam kết từ HTX</w:t>
      </w:r>
      <w:r w:rsidRPr="00C61221">
        <w:rPr>
          <w:sz w:val="28"/>
          <w:szCs w:val="28"/>
          <w:lang w:eastAsia="zh-CN"/>
        </w:rPr>
        <w:t>.</w:t>
      </w:r>
      <w:r w:rsidR="00053F30">
        <w:rPr>
          <w:sz w:val="28"/>
          <w:szCs w:val="28"/>
          <w:lang w:eastAsia="zh-CN"/>
        </w:rPr>
        <w:t xml:space="preserve"> </w:t>
      </w:r>
      <w:r w:rsidRPr="00C61221">
        <w:rPr>
          <w:bCs/>
          <w:spacing w:val="-2"/>
          <w:sz w:val="28"/>
          <w:szCs w:val="28"/>
          <w:lang w:val="zu-ZA"/>
        </w:rPr>
        <w:t>HTX</w:t>
      </w:r>
      <w:r w:rsidRPr="00C61221">
        <w:rPr>
          <w:rFonts w:eastAsia="Calibri"/>
          <w:bCs/>
          <w:spacing w:val="-2"/>
          <w:sz w:val="28"/>
          <w:szCs w:val="28"/>
          <w:shd w:val="clear" w:color="auto" w:fill="FFFFFF"/>
        </w:rPr>
        <w:t xml:space="preserve"> đã phát huy được vai trò tập hợp, vận động thay đổi cách nghĩ, cách làm cho bà con nông dân, ứng dụng có hiệu quả các tiến bộ khoa học kỹ thuật, </w:t>
      </w:r>
      <w:r w:rsidRPr="00C61221">
        <w:rPr>
          <w:rFonts w:eastAsia="Calibri"/>
          <w:bCs/>
          <w:spacing w:val="-2"/>
          <w:sz w:val="28"/>
          <w:szCs w:val="28"/>
          <w:lang w:val="zu-ZA"/>
        </w:rPr>
        <w:t>chuyển đổi cơ cấu cây trồng, vật nuôi theo hướng sản xuất hàng hoá, góp phần tích cực thực hiện chuyển dịch cơ cấu kinh tế nông nghiệp, nông thôn hợp lý; là cầu nối tạo ra liên kết dọc, là</w:t>
      </w:r>
      <w:r w:rsidRPr="00C61221">
        <w:rPr>
          <w:rFonts w:eastAsia="Calibri"/>
          <w:bCs/>
          <w:spacing w:val="-2"/>
          <w:sz w:val="28"/>
          <w:szCs w:val="28"/>
          <w:shd w:val="clear" w:color="auto" w:fill="FFFFFF"/>
        </w:rPr>
        <w:t xml:space="preserve"> </w:t>
      </w:r>
      <w:r w:rsidRPr="00C61221">
        <w:rPr>
          <w:rFonts w:eastAsia="Calibri"/>
          <w:bCs/>
          <w:spacing w:val="-2"/>
          <w:sz w:val="28"/>
          <w:szCs w:val="28"/>
          <w:lang w:val="zu-ZA"/>
        </w:rPr>
        <w:t>khâu trung gian giữa người sản xuất, người tiêu dùng, nơi tiếp nhận thông tin thị trường, đầu mối đảm nhận khâu thu mua và đưa hàng hóa đến thị trường</w:t>
      </w:r>
      <w:r w:rsidRPr="00C61221">
        <w:rPr>
          <w:rFonts w:eastAsia="Calibri"/>
          <w:bCs/>
          <w:sz w:val="28"/>
          <w:szCs w:val="28"/>
        </w:rPr>
        <w:t xml:space="preserve">, từng bước thay đổi tư duy sản xuất nông nghiệp sang tư duy kinh tế nông nghiệp, thực hiện sản xuất xanh và bền vững; từng bước chuyển đổi số trong hoạt động theo của thị trường và </w:t>
      </w:r>
      <w:r w:rsidR="00053F30">
        <w:rPr>
          <w:rFonts w:eastAsia="Calibri"/>
          <w:bCs/>
          <w:sz w:val="28"/>
          <w:szCs w:val="28"/>
        </w:rPr>
        <w:t>C</w:t>
      </w:r>
      <w:r w:rsidRPr="00C61221">
        <w:rPr>
          <w:rFonts w:eastAsia="Calibri"/>
          <w:bCs/>
          <w:sz w:val="28"/>
          <w:szCs w:val="28"/>
        </w:rPr>
        <w:t xml:space="preserve">uộc </w:t>
      </w:r>
      <w:r w:rsidR="00053F30">
        <w:rPr>
          <w:rFonts w:eastAsia="Calibri"/>
          <w:bCs/>
          <w:sz w:val="28"/>
          <w:szCs w:val="28"/>
        </w:rPr>
        <w:t>C</w:t>
      </w:r>
      <w:r w:rsidRPr="00C61221">
        <w:rPr>
          <w:rFonts w:eastAsia="Calibri"/>
          <w:bCs/>
          <w:sz w:val="28"/>
          <w:szCs w:val="28"/>
        </w:rPr>
        <w:t>ách mạng công nghiệp lần thứ</w:t>
      </w:r>
      <w:r w:rsidR="005A4017">
        <w:rPr>
          <w:rFonts w:eastAsia="Calibri"/>
          <w:bCs/>
          <w:sz w:val="28"/>
          <w:szCs w:val="28"/>
        </w:rPr>
        <w:t xml:space="preserve"> tư (4.0)</w:t>
      </w:r>
      <w:r w:rsidRPr="00C61221">
        <w:rPr>
          <w:rFonts w:eastAsia="Calibri"/>
          <w:bCs/>
          <w:sz w:val="28"/>
          <w:szCs w:val="28"/>
        </w:rPr>
        <w:t>.</w:t>
      </w:r>
    </w:p>
    <w:p w:rsidR="004517D4" w:rsidRPr="00C61221" w:rsidRDefault="004517D4" w:rsidP="00C61221">
      <w:pPr>
        <w:spacing w:before="60" w:after="60"/>
        <w:ind w:firstLine="720"/>
        <w:jc w:val="both"/>
        <w:rPr>
          <w:sz w:val="28"/>
          <w:szCs w:val="28"/>
          <w:lang w:val="zu-ZA" w:eastAsia="zh-CN"/>
        </w:rPr>
      </w:pPr>
      <w:r w:rsidRPr="00C61221">
        <w:rPr>
          <w:rFonts w:eastAsia="Calibri"/>
          <w:bCs/>
          <w:sz w:val="28"/>
          <w:szCs w:val="28"/>
        </w:rPr>
        <w:t xml:space="preserve">Ngoài ra, </w:t>
      </w:r>
      <w:r w:rsidRPr="00C61221">
        <w:rPr>
          <w:sz w:val="28"/>
          <w:szCs w:val="28"/>
          <w:lang w:val="zu-ZA" w:eastAsia="zh-CN"/>
        </w:rPr>
        <w:t xml:space="preserve">trong quá trình thực hiện Chương trình </w:t>
      </w:r>
      <w:r w:rsidR="001A5E59">
        <w:rPr>
          <w:sz w:val="28"/>
          <w:szCs w:val="28"/>
          <w:lang w:val="zu-ZA" w:eastAsia="zh-CN"/>
        </w:rPr>
        <w:t>MTQG</w:t>
      </w:r>
      <w:r w:rsidRPr="00C61221">
        <w:rPr>
          <w:sz w:val="28"/>
          <w:szCs w:val="28"/>
          <w:lang w:val="zu-ZA" w:eastAsia="zh-CN"/>
        </w:rPr>
        <w:t xml:space="preserve"> </w:t>
      </w:r>
      <w:r w:rsidR="001A5E59">
        <w:rPr>
          <w:sz w:val="28"/>
          <w:szCs w:val="28"/>
          <w:lang w:val="zu-ZA" w:eastAsia="zh-CN"/>
        </w:rPr>
        <w:t>X</w:t>
      </w:r>
      <w:r w:rsidRPr="00C61221">
        <w:rPr>
          <w:sz w:val="28"/>
          <w:szCs w:val="28"/>
          <w:lang w:val="zu-ZA" w:eastAsia="zh-CN"/>
        </w:rPr>
        <w:t xml:space="preserve">ây dựng nông thôn </w:t>
      </w:r>
      <w:r w:rsidR="001A5E59">
        <w:rPr>
          <w:sz w:val="28"/>
          <w:szCs w:val="28"/>
          <w:lang w:val="zu-ZA" w:eastAsia="zh-CN"/>
        </w:rPr>
        <w:t xml:space="preserve">mới (NTM), vai trò của THT, HTXNN </w:t>
      </w:r>
      <w:r w:rsidRPr="00C61221">
        <w:rPr>
          <w:sz w:val="28"/>
          <w:szCs w:val="28"/>
          <w:lang w:val="zu-ZA" w:eastAsia="zh-CN"/>
        </w:rPr>
        <w:t xml:space="preserve">được thể hiện nổi bật thông qua </w:t>
      </w:r>
      <w:r w:rsidRPr="00C61221">
        <w:rPr>
          <w:sz w:val="28"/>
          <w:szCs w:val="28"/>
          <w:shd w:val="clear" w:color="auto" w:fill="FFFFFF"/>
          <w:lang w:val="zu-ZA" w:eastAsia="zh-CN"/>
        </w:rPr>
        <w:t xml:space="preserve">thực hiện </w:t>
      </w:r>
      <w:r w:rsidR="001A5E59">
        <w:rPr>
          <w:sz w:val="28"/>
          <w:szCs w:val="28"/>
          <w:shd w:val="clear" w:color="auto" w:fill="FFFFFF"/>
          <w:lang w:val="zu-ZA" w:eastAsia="zh-CN"/>
        </w:rPr>
        <w:t>TCCNN</w:t>
      </w:r>
      <w:r w:rsidRPr="00C61221">
        <w:rPr>
          <w:sz w:val="28"/>
          <w:szCs w:val="28"/>
          <w:shd w:val="clear" w:color="auto" w:fill="FFFFFF"/>
          <w:lang w:val="zu-ZA" w:eastAsia="zh-CN"/>
        </w:rPr>
        <w:t xml:space="preserve">, </w:t>
      </w:r>
      <w:r w:rsidRPr="00C61221">
        <w:rPr>
          <w:sz w:val="28"/>
          <w:szCs w:val="28"/>
          <w:lang w:val="zu-ZA" w:eastAsia="zh-CN"/>
        </w:rPr>
        <w:t xml:space="preserve">chuyển dịch cơ cấu cây trồng, vật nuôi, cơ cấu kinh tế nông nghiệp, nông thôn theo hướng kết nối để tiến tới phát triển ổn định và bền vững; tham gia vào quy hoạch sử dụng đất và các hạ tầng thiết yếu phục vụ sản xuất như việc dồn điền đổi thửa, xây dựng cánh đồng lớn, hình thành vùng sản xuất sản phẩm chủ lực tập trung; tham gia đóng góp quy hoạch, xây dựng hệ thống kênh mương, giao thông nội đồng, kết cấu hạ tầng nông nghiệp, nông thôn, tăng cường năng lực phòng, chống, giảm nhẹ thiên tai và thích ứng với biến đổi khí hậu,… tại địa bàn cơ sở. </w:t>
      </w:r>
    </w:p>
    <w:p w:rsidR="004517D4" w:rsidRPr="00C61221" w:rsidRDefault="004517D4" w:rsidP="00C61221">
      <w:pPr>
        <w:spacing w:before="60" w:after="60"/>
        <w:ind w:firstLine="720"/>
        <w:jc w:val="both"/>
        <w:rPr>
          <w:sz w:val="28"/>
          <w:szCs w:val="28"/>
          <w:lang w:val="zu-ZA" w:eastAsia="zh-CN"/>
        </w:rPr>
      </w:pPr>
      <w:r w:rsidRPr="00C61221">
        <w:rPr>
          <w:sz w:val="28"/>
          <w:szCs w:val="28"/>
          <w:lang w:val="zu-ZA" w:eastAsia="zh-CN"/>
        </w:rPr>
        <w:t xml:space="preserve"> Là một tác nhân tích cực, các THT, HTX hoạt động hiệu quả đã tạo điều kiện cho thành viên tổ chức sản xuất ổn định và hiệu quả, làm cho đời sống thành viên không ngừng được nâng lên, từ đó thành viên có điều kiện, khả năng đóng góp xây dựng hạ tầng cơ sở phục vụ sản xuất, các công trình văn hóa, phúc </w:t>
      </w:r>
      <w:r w:rsidRPr="00C61221">
        <w:rPr>
          <w:sz w:val="28"/>
          <w:szCs w:val="28"/>
          <w:lang w:val="zu-ZA" w:eastAsia="zh-CN"/>
        </w:rPr>
        <w:lastRenderedPageBreak/>
        <w:t>lợi công cộng, đảm bảo an ninh chính trị, trật tự an toàn xã hội ở địa phương, góp phần hoàn thành các tiêu chí trong xây dựng nông thôn mới.</w:t>
      </w:r>
    </w:p>
    <w:p w:rsidR="004517D4" w:rsidRPr="00C61221" w:rsidRDefault="001A5E59" w:rsidP="00C61221">
      <w:pPr>
        <w:shd w:val="clear" w:color="auto" w:fill="FFFFFF"/>
        <w:spacing w:before="60" w:after="60"/>
        <w:ind w:firstLine="720"/>
        <w:jc w:val="both"/>
        <w:textAlignment w:val="baseline"/>
        <w:rPr>
          <w:sz w:val="28"/>
          <w:szCs w:val="28"/>
          <w:lang w:val="zu-ZA" w:eastAsia="zh-CN"/>
        </w:rPr>
      </w:pPr>
      <w:r>
        <w:rPr>
          <w:sz w:val="28"/>
          <w:szCs w:val="28"/>
          <w:lang w:val="zu-ZA" w:eastAsia="zh-CN"/>
        </w:rPr>
        <w:t xml:space="preserve">Hoạt động của các THT, HTXNN </w:t>
      </w:r>
      <w:r w:rsidR="004517D4" w:rsidRPr="00C61221">
        <w:rPr>
          <w:sz w:val="28"/>
          <w:szCs w:val="28"/>
          <w:lang w:val="zu-ZA" w:eastAsia="zh-CN"/>
        </w:rPr>
        <w:t xml:space="preserve">còn góp phần thực hiện hiệu quả các giải pháp giảm nghèo, an sinh xã hội thuộc Chương trình mục tiêu quốc gia giảm nghèo bền vững; thành viên của các THT, HTX không chỉ hợp tác thụ hưởng lợi ích kinh tế mà còn thụ hưởng các chính sách phát triển văn hóa - xã hội trong cộng đồng, được tham gia các hoạt động phúc lợi xã hội, an sinh xã hội, hoạt động văn hóa - xã hội, thông qua đó đã giúp cho các thành viên có điều kiện, hoàn cảnh khó khăn được cải thiện, nâng cao đời sống. góp phần xây dựng tình làng, nghĩa xóm gắn kết, đảm bảo an ninh trật tự và sự ổn định ở nông thôn. </w:t>
      </w:r>
    </w:p>
    <w:p w:rsidR="004517D4" w:rsidRPr="00C61221" w:rsidRDefault="004517D4" w:rsidP="00C61221">
      <w:pPr>
        <w:shd w:val="clear" w:color="auto" w:fill="FFFFFF"/>
        <w:spacing w:before="60" w:after="60"/>
        <w:ind w:firstLine="720"/>
        <w:jc w:val="both"/>
        <w:textAlignment w:val="baseline"/>
        <w:rPr>
          <w:sz w:val="28"/>
          <w:szCs w:val="28"/>
          <w:shd w:val="clear" w:color="auto" w:fill="FFFFFF"/>
          <w:lang w:eastAsia="zh-CN"/>
        </w:rPr>
      </w:pPr>
      <w:r w:rsidRPr="00C61221">
        <w:rPr>
          <w:sz w:val="28"/>
          <w:szCs w:val="28"/>
          <w:lang w:val="vi-VN" w:eastAsia="zh-CN"/>
        </w:rPr>
        <w:t>Tham gia Chương trình mỗi xã một sản phẩm (OCOP), các THT</w:t>
      </w:r>
      <w:r w:rsidRPr="00C61221">
        <w:rPr>
          <w:sz w:val="28"/>
          <w:szCs w:val="28"/>
          <w:lang w:val="zu-ZA" w:eastAsia="zh-CN"/>
        </w:rPr>
        <w:t xml:space="preserve"> và</w:t>
      </w:r>
      <w:r w:rsidRPr="00C61221">
        <w:rPr>
          <w:sz w:val="28"/>
          <w:szCs w:val="28"/>
          <w:lang w:val="vi-VN" w:eastAsia="zh-CN"/>
        </w:rPr>
        <w:t xml:space="preserve"> HTX nông nghiệp đã cùng với chính quyền xây dựng và phát triển các sản phẩm tiềm năng, chủ lực, có lợi thế so sánh của địa phương;</w:t>
      </w:r>
      <w:r w:rsidRPr="00C61221">
        <w:rPr>
          <w:sz w:val="28"/>
          <w:szCs w:val="28"/>
          <w:shd w:val="clear" w:color="auto" w:fill="FFFFFF"/>
          <w:lang w:val="vi-VN" w:eastAsia="zh-CN"/>
        </w:rPr>
        <w:t xml:space="preserve"> góp phần tạo công ăn việc làm tại chỗ, nâng cao thu nhập, cải thiện đời sống thành viên và người lao động khu vực KTTT, HTX </w:t>
      </w:r>
      <w:r w:rsidRPr="00C61221">
        <w:rPr>
          <w:i/>
          <w:sz w:val="28"/>
          <w:szCs w:val="28"/>
          <w:shd w:val="clear" w:color="auto" w:fill="FFFFFF"/>
          <w:lang w:val="vi-VN" w:eastAsia="zh-CN"/>
        </w:rPr>
        <w:t>(chủ yếu là khu vực nông thôn)</w:t>
      </w:r>
      <w:r w:rsidRPr="00C61221">
        <w:rPr>
          <w:sz w:val="28"/>
          <w:szCs w:val="28"/>
          <w:shd w:val="clear" w:color="auto" w:fill="FFFFFF"/>
          <w:lang w:val="vi-VN" w:eastAsia="zh-CN"/>
        </w:rPr>
        <w:t>.</w:t>
      </w:r>
    </w:p>
    <w:p w:rsidR="004517D4" w:rsidRPr="00C61221" w:rsidRDefault="004517D4" w:rsidP="001A5E59">
      <w:pPr>
        <w:shd w:val="clear" w:color="auto" w:fill="FFFFFF"/>
        <w:spacing w:before="60" w:after="60"/>
        <w:ind w:firstLine="720"/>
        <w:jc w:val="both"/>
        <w:textAlignment w:val="baseline"/>
        <w:rPr>
          <w:sz w:val="28"/>
          <w:szCs w:val="28"/>
          <w:lang w:eastAsia="zh-CN"/>
        </w:rPr>
      </w:pPr>
      <w:r w:rsidRPr="00C61221">
        <w:rPr>
          <w:sz w:val="28"/>
          <w:szCs w:val="28"/>
          <w:shd w:val="clear" w:color="auto" w:fill="FFFFFF"/>
          <w:lang w:eastAsia="zh-CN"/>
        </w:rPr>
        <w:t>Có thể nói, đ</w:t>
      </w:r>
      <w:r w:rsidRPr="00C61221">
        <w:rPr>
          <w:sz w:val="28"/>
          <w:szCs w:val="28"/>
          <w:lang w:val="vi-VN" w:eastAsia="zh-CN"/>
        </w:rPr>
        <w:t xml:space="preserve">óng góp của THT, HTX hoạt động hiệu quả trên địa bàn tỉnh vào kết quả chung của các Chương trình </w:t>
      </w:r>
      <w:r w:rsidR="001A5E59">
        <w:rPr>
          <w:sz w:val="28"/>
          <w:szCs w:val="28"/>
          <w:lang w:eastAsia="zh-CN"/>
        </w:rPr>
        <w:t xml:space="preserve">MTQG Xây dựng </w:t>
      </w:r>
      <w:r w:rsidRPr="00C61221">
        <w:rPr>
          <w:sz w:val="28"/>
          <w:szCs w:val="28"/>
          <w:lang w:eastAsia="zh-CN"/>
        </w:rPr>
        <w:t>NTM</w:t>
      </w:r>
      <w:r w:rsidRPr="00C61221">
        <w:rPr>
          <w:sz w:val="28"/>
          <w:szCs w:val="28"/>
          <w:lang w:val="vi-VN" w:eastAsia="zh-CN"/>
        </w:rPr>
        <w:t xml:space="preserve">, </w:t>
      </w:r>
      <w:r w:rsidRPr="00C61221">
        <w:rPr>
          <w:sz w:val="28"/>
          <w:szCs w:val="28"/>
          <w:lang w:eastAsia="zh-CN"/>
        </w:rPr>
        <w:t>C</w:t>
      </w:r>
      <w:r w:rsidRPr="00C61221">
        <w:rPr>
          <w:sz w:val="28"/>
          <w:szCs w:val="28"/>
          <w:lang w:val="vi-VN" w:eastAsia="zh-CN"/>
        </w:rPr>
        <w:t xml:space="preserve">hương trình </w:t>
      </w:r>
      <w:r w:rsidR="001A5E59">
        <w:rPr>
          <w:sz w:val="28"/>
          <w:szCs w:val="28"/>
          <w:lang w:eastAsia="zh-CN"/>
        </w:rPr>
        <w:t>MTQG G</w:t>
      </w:r>
      <w:r w:rsidRPr="00C61221">
        <w:rPr>
          <w:sz w:val="28"/>
          <w:szCs w:val="28"/>
          <w:lang w:val="vi-VN" w:eastAsia="zh-CN"/>
        </w:rPr>
        <w:t xml:space="preserve">iảm nghèo bền vững, </w:t>
      </w:r>
      <w:r w:rsidRPr="00C61221">
        <w:rPr>
          <w:sz w:val="28"/>
          <w:szCs w:val="28"/>
          <w:lang w:eastAsia="zh-CN"/>
        </w:rPr>
        <w:t>C</w:t>
      </w:r>
      <w:r w:rsidRPr="00C61221">
        <w:rPr>
          <w:sz w:val="28"/>
          <w:szCs w:val="28"/>
          <w:lang w:val="vi-VN" w:eastAsia="zh-CN"/>
        </w:rPr>
        <w:t>hương trình OCOP là hết sức to lớn, có giá trị lan tỏa, là nền tảng, cơ sở khá quan trọng góp phần thực hiện tiến trình công nghiệp hóa, hiện đại hóa nông nghiệp, nông thôn và phát triển nông dân</w:t>
      </w:r>
      <w:r w:rsidR="001A5E59">
        <w:rPr>
          <w:sz w:val="28"/>
          <w:szCs w:val="28"/>
          <w:lang w:eastAsia="zh-CN"/>
        </w:rPr>
        <w:t xml:space="preserve">, </w:t>
      </w:r>
      <w:r w:rsidRPr="00C61221">
        <w:rPr>
          <w:sz w:val="28"/>
          <w:szCs w:val="28"/>
          <w:lang w:eastAsia="zh-CN"/>
        </w:rPr>
        <w:t>góp phần mang lại hiệu quả trong công tác xoá đói, giảm nghèo, giải quyết việc làm và giải quyết các vấn đề xã hội khác trong cộng đồng.</w:t>
      </w:r>
      <w:r w:rsidRPr="00C61221">
        <w:rPr>
          <w:sz w:val="28"/>
          <w:szCs w:val="28"/>
          <w:lang w:eastAsia="zh-CN"/>
        </w:rPr>
        <w:tab/>
      </w:r>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eastAsia="zh-CN"/>
        </w:rPr>
        <w:t>3</w:t>
      </w:r>
      <w:r w:rsidRPr="00C61221">
        <w:rPr>
          <w:b/>
          <w:bCs/>
          <w:sz w:val="28"/>
          <w:szCs w:val="28"/>
          <w:lang w:val="vi-VN" w:eastAsia="zh-CN"/>
        </w:rPr>
        <w:t xml:space="preserve">. Tình hình phát triển của </w:t>
      </w:r>
      <w:r w:rsidR="001A5E59">
        <w:rPr>
          <w:b/>
          <w:bCs/>
          <w:sz w:val="28"/>
          <w:szCs w:val="28"/>
          <w:lang w:eastAsia="zh-CN"/>
        </w:rPr>
        <w:t>THT</w:t>
      </w:r>
      <w:r w:rsidRPr="00C61221">
        <w:rPr>
          <w:b/>
          <w:bCs/>
          <w:sz w:val="28"/>
          <w:szCs w:val="28"/>
          <w:lang w:val="vi-VN" w:eastAsia="zh-CN"/>
        </w:rPr>
        <w:t xml:space="preserve"> từ năm 2013 đến 2021</w:t>
      </w:r>
    </w:p>
    <w:p w:rsidR="004517D4" w:rsidRPr="00C61221" w:rsidRDefault="004517D4" w:rsidP="001A5E59">
      <w:pPr>
        <w:adjustRightInd w:val="0"/>
        <w:snapToGrid w:val="0"/>
        <w:spacing w:before="60" w:after="60"/>
        <w:ind w:firstLine="720"/>
        <w:jc w:val="both"/>
        <w:rPr>
          <w:sz w:val="28"/>
          <w:szCs w:val="28"/>
          <w:lang w:val="sv-SE" w:eastAsia="zh-CN"/>
        </w:rPr>
      </w:pPr>
      <w:r w:rsidRPr="00C61221">
        <w:rPr>
          <w:rFonts w:eastAsia="NanumGothic"/>
          <w:bCs/>
          <w:sz w:val="28"/>
          <w:szCs w:val="28"/>
          <w:lang w:val="sv-SE" w:eastAsia="zh-CN"/>
        </w:rPr>
        <w:t xml:space="preserve">Ước đến 31/12/2021, toàn Tỉnh có 1.068 THT, giảm 44 THT (4%) so với thời điểm năm 2019 khi </w:t>
      </w:r>
      <w:r w:rsidRPr="00C61221">
        <w:rPr>
          <w:sz w:val="28"/>
          <w:szCs w:val="28"/>
          <w:lang w:val="vi-VN" w:eastAsia="zh-CN"/>
        </w:rPr>
        <w:t>Nghị định 77/2019/NĐ-CP ngày 10/10/2019 của Chính phủ về Tổ hợp tác ban hành.</w:t>
      </w:r>
      <w:r w:rsidR="001A5E59">
        <w:rPr>
          <w:sz w:val="28"/>
          <w:szCs w:val="28"/>
          <w:lang w:eastAsia="zh-CN"/>
        </w:rPr>
        <w:t xml:space="preserve"> </w:t>
      </w:r>
      <w:r w:rsidRPr="00C61221">
        <w:rPr>
          <w:rFonts w:eastAsia="NanumGothic"/>
          <w:bCs/>
          <w:sz w:val="28"/>
          <w:szCs w:val="28"/>
          <w:lang w:val="sv-SE" w:eastAsia="zh-CN"/>
        </w:rPr>
        <w:t xml:space="preserve">Doanh thu bình quân của THT khoảng 510 triệu đồng, giảm 790 triệu đồng (39%) so với thời điểm Nghị định </w:t>
      </w:r>
      <w:r w:rsidRPr="00C61221">
        <w:rPr>
          <w:sz w:val="28"/>
          <w:szCs w:val="28"/>
          <w:lang w:val="vi-VN" w:eastAsia="zh-CN"/>
        </w:rPr>
        <w:t>77/2019/NĐ-CP ngày 10/10/2019 của Chính phủ về Tổ hợp tác ban hành.</w:t>
      </w:r>
      <w:r w:rsidRPr="00C61221">
        <w:rPr>
          <w:sz w:val="28"/>
          <w:szCs w:val="28"/>
          <w:lang w:eastAsia="zh-CN"/>
        </w:rPr>
        <w:t xml:space="preserve"> L</w:t>
      </w:r>
      <w:r w:rsidRPr="00C61221">
        <w:rPr>
          <w:rFonts w:eastAsia="NanumGothic"/>
          <w:bCs/>
          <w:sz w:val="28"/>
          <w:szCs w:val="28"/>
          <w:lang w:val="sv-SE" w:eastAsia="zh-CN"/>
        </w:rPr>
        <w:t xml:space="preserve">ợi nhuận bình quân của THT là 138 triệu đồng, tăng 3 triệu đồng (2%)  so với thời điểm Nghị định </w:t>
      </w:r>
      <w:r w:rsidRPr="00C61221">
        <w:rPr>
          <w:sz w:val="28"/>
          <w:szCs w:val="28"/>
          <w:lang w:val="vi-VN" w:eastAsia="zh-CN"/>
        </w:rPr>
        <w:t>77/2019/NĐ-CP</w:t>
      </w:r>
      <w:r w:rsidRPr="00C61221">
        <w:rPr>
          <w:sz w:val="28"/>
          <w:szCs w:val="28"/>
          <w:lang w:eastAsia="zh-CN"/>
        </w:rPr>
        <w:t>.</w:t>
      </w:r>
      <w:r w:rsidR="001A5E59">
        <w:rPr>
          <w:sz w:val="28"/>
          <w:szCs w:val="28"/>
          <w:lang w:eastAsia="zh-CN"/>
        </w:rPr>
        <w:t xml:space="preserve"> </w:t>
      </w:r>
      <w:r w:rsidRPr="00C61221">
        <w:rPr>
          <w:sz w:val="28"/>
          <w:szCs w:val="28"/>
          <w:lang w:val="sv-SE" w:eastAsia="zh-CN"/>
        </w:rPr>
        <w:t xml:space="preserve">Tổ chức bộ máy các THT phổ biến là: 01 tổ trưởng điều hành chung và 01 tổ phó giúp việc cho tổ trưởng hoặc thay thế tổ trưởng điều hành THT khi tổ trưởng đi vắng. Phần lớn trình độ học vấn của đội ngũ cán bộ quản lý THT còn thấp, chưa qua đào tạo, bồi dưỡng. Phần lớn tổ viên của THT là cá nhân, không có tổ viên là đại diện gia đình hay pháp nhân. Đa số các THT góp công sức tạo ra lợi ích chung phục vụ cho các tổ viên nhằm hỗ trợ nhau trong hoạt động sản xuất, không hoạt động vì mục đích tạo ra lợi nhuận kinh tế. </w:t>
      </w:r>
    </w:p>
    <w:p w:rsidR="004517D4" w:rsidRPr="00C61221" w:rsidRDefault="004517D4" w:rsidP="00C61221">
      <w:pPr>
        <w:spacing w:before="60" w:after="60"/>
        <w:ind w:firstLine="720"/>
        <w:jc w:val="both"/>
        <w:rPr>
          <w:i/>
          <w:sz w:val="28"/>
          <w:szCs w:val="28"/>
          <w:lang w:val="sv-SE" w:eastAsia="zh-CN"/>
        </w:rPr>
      </w:pPr>
      <w:r w:rsidRPr="00C61221">
        <w:rPr>
          <w:i/>
          <w:sz w:val="28"/>
          <w:szCs w:val="28"/>
          <w:lang w:val="sv-SE" w:eastAsia="zh-CN"/>
        </w:rPr>
        <w:t xml:space="preserve">* </w:t>
      </w:r>
      <w:r w:rsidR="001A5E59">
        <w:rPr>
          <w:i/>
          <w:sz w:val="28"/>
          <w:szCs w:val="28"/>
          <w:lang w:val="sv-SE" w:eastAsia="zh-CN"/>
        </w:rPr>
        <w:t>Những khó khăn, hạn chế của THT</w:t>
      </w:r>
    </w:p>
    <w:p w:rsidR="004517D4" w:rsidRPr="00C61221" w:rsidRDefault="001A5E59" w:rsidP="00C61221">
      <w:pPr>
        <w:spacing w:before="60" w:after="60"/>
        <w:ind w:firstLine="720"/>
        <w:jc w:val="both"/>
        <w:rPr>
          <w:sz w:val="28"/>
          <w:szCs w:val="28"/>
          <w:lang w:val="sv-SE" w:eastAsia="zh-CN"/>
        </w:rPr>
      </w:pPr>
      <w:r>
        <w:rPr>
          <w:sz w:val="28"/>
          <w:szCs w:val="28"/>
          <w:lang w:val="sv-SE" w:eastAsia="zh-CN"/>
        </w:rPr>
        <w:t>-</w:t>
      </w:r>
      <w:r w:rsidR="004517D4" w:rsidRPr="00C61221">
        <w:rPr>
          <w:sz w:val="28"/>
          <w:szCs w:val="28"/>
          <w:lang w:val="sv-SE" w:eastAsia="zh-CN"/>
        </w:rPr>
        <w:t xml:space="preserve"> Đa số THT chưa cung cấp được các hoạt động dịch vụ kinh doanh để tạo doanh thu và thu nhập. Nhiều THT được thành lập nhằm mục đích hỗ trợ nhau về kỹ thuật sản xuất, tiêu thụ sản phẩm đầu ra nên các tổ viên không góp vốn sản xuất kinh doanh mà chủ yếu là đóng góp chi phí đảm bảo sinh hoạt.</w:t>
      </w:r>
    </w:p>
    <w:p w:rsidR="004517D4" w:rsidRPr="00C61221" w:rsidRDefault="001A5E59" w:rsidP="00C61221">
      <w:pPr>
        <w:spacing w:before="60" w:after="60"/>
        <w:ind w:firstLine="720"/>
        <w:jc w:val="both"/>
        <w:rPr>
          <w:sz w:val="28"/>
          <w:szCs w:val="28"/>
          <w:lang w:val="sv-SE" w:eastAsia="zh-CN"/>
        </w:rPr>
      </w:pPr>
      <w:r>
        <w:rPr>
          <w:sz w:val="28"/>
          <w:szCs w:val="28"/>
          <w:lang w:val="sv-SE" w:eastAsia="zh-CN"/>
        </w:rPr>
        <w:t>-</w:t>
      </w:r>
      <w:r w:rsidR="004517D4" w:rsidRPr="00C61221">
        <w:rPr>
          <w:sz w:val="28"/>
          <w:szCs w:val="28"/>
          <w:lang w:val="sv-SE" w:eastAsia="zh-CN"/>
        </w:rPr>
        <w:t xml:space="preserve"> Vốn góp, tài sản chung của các THT còn hạn chế nên THT ít mở rộng hoạt động sản xuất, kinh doanh; việc huy động vốn hoặc vay vốn từ ngân hàng, các tổ chức tín dụng để phát triển sản xuất gặp nhiều khó khăn.</w:t>
      </w:r>
    </w:p>
    <w:p w:rsidR="004517D4" w:rsidRPr="00C61221" w:rsidRDefault="00F83919" w:rsidP="00C61221">
      <w:pPr>
        <w:spacing w:before="60" w:after="60"/>
        <w:ind w:firstLine="720"/>
        <w:jc w:val="both"/>
        <w:rPr>
          <w:sz w:val="28"/>
          <w:szCs w:val="28"/>
          <w:lang w:val="sv-SE" w:eastAsia="zh-CN"/>
        </w:rPr>
      </w:pPr>
      <w:r>
        <w:rPr>
          <w:sz w:val="28"/>
          <w:szCs w:val="28"/>
          <w:lang w:val="sv-SE" w:eastAsia="zh-CN"/>
        </w:rPr>
        <w:t>-</w:t>
      </w:r>
      <w:r w:rsidR="004517D4" w:rsidRPr="00C61221">
        <w:rPr>
          <w:sz w:val="28"/>
          <w:szCs w:val="28"/>
          <w:lang w:val="sv-SE" w:eastAsia="zh-CN"/>
        </w:rPr>
        <w:t xml:space="preserve"> Phần lớn bộ máy hoạt động của các THT còn hạn chế trong quản lý, điều hành như: cán bộ quản lý lớn tuổi, trình độ thấp, việc thực hiện công tác quản lý chủ yếu dựa vào kinh nghiệm; thiếu các cán bộ chuyên môn về kỹ thuật; chưa xây dựng phương án sản xuất kinh doanh cho THT. Dẫn đến việc tìm kiếm đối tác, doanh nghiệp thực hiện liên kết sản xuất và tiêu thụ của THT còn hạn chế, diện tích ký kết và sản lượng tiêu thụ còn thấp.</w:t>
      </w:r>
    </w:p>
    <w:p w:rsidR="004517D4" w:rsidRPr="00C61221" w:rsidRDefault="00F83919" w:rsidP="00C61221">
      <w:pPr>
        <w:spacing w:before="60" w:after="60"/>
        <w:ind w:firstLine="720"/>
        <w:jc w:val="both"/>
        <w:rPr>
          <w:sz w:val="28"/>
          <w:szCs w:val="28"/>
          <w:lang w:val="sv-SE" w:eastAsia="zh-CN"/>
        </w:rPr>
      </w:pPr>
      <w:r>
        <w:rPr>
          <w:sz w:val="28"/>
          <w:szCs w:val="28"/>
          <w:lang w:val="sv-SE" w:eastAsia="zh-CN"/>
        </w:rPr>
        <w:t>-</w:t>
      </w:r>
      <w:r w:rsidR="004517D4" w:rsidRPr="00C61221">
        <w:rPr>
          <w:sz w:val="28"/>
          <w:szCs w:val="28"/>
          <w:lang w:val="sv-SE" w:eastAsia="zh-CN"/>
        </w:rPr>
        <w:t xml:space="preserve"> Nhân dân còn tập quán tự sản xuất riêng lẻ, chưa đổi mới tư duy sản xuất, chưa mạnh dạn tham gia vào các THT để hoạt động nên việc thu hút thành viên mới vào THT còn khó khăn.</w:t>
      </w:r>
    </w:p>
    <w:p w:rsidR="004517D4" w:rsidRPr="00C61221" w:rsidRDefault="00F83919" w:rsidP="00C61221">
      <w:pPr>
        <w:adjustRightInd w:val="0"/>
        <w:snapToGrid w:val="0"/>
        <w:spacing w:before="60" w:after="60"/>
        <w:ind w:firstLine="720"/>
        <w:jc w:val="both"/>
        <w:rPr>
          <w:bCs/>
          <w:sz w:val="28"/>
          <w:szCs w:val="28"/>
          <w:lang w:val="nl-NL" w:eastAsia="zh-CN"/>
        </w:rPr>
      </w:pPr>
      <w:r>
        <w:rPr>
          <w:sz w:val="28"/>
          <w:szCs w:val="28"/>
          <w:lang w:eastAsia="zh-CN"/>
        </w:rPr>
        <w:t>-</w:t>
      </w:r>
      <w:r w:rsidR="004517D4" w:rsidRPr="00C61221">
        <w:rPr>
          <w:sz w:val="28"/>
          <w:szCs w:val="28"/>
          <w:lang w:eastAsia="zh-CN"/>
        </w:rPr>
        <w:t xml:space="preserve"> Thủ tục hành chính về thành lập THT theo Nghị định 77/2019/NĐ-CP ngày 10/10/2019  được đơn giản hóa, chỉ cần thông báo đến UBND cấp xã khi thành lập, hoặc chấm dứt hoạt động và do đặc thù hoạt động </w:t>
      </w:r>
      <w:r w:rsidR="004517D4" w:rsidRPr="00C61221">
        <w:rPr>
          <w:bCs/>
          <w:sz w:val="28"/>
          <w:szCs w:val="28"/>
          <w:lang w:val="nl-NL" w:eastAsia="zh-CN"/>
        </w:rPr>
        <w:t xml:space="preserve">chủ yếu của THT là giúp nhau làm kinh tế gia đình, thời vụ và tự giải tán sau khi hoàn thành công việc theo thời vụ, nên công tác </w:t>
      </w:r>
      <w:r w:rsidR="004517D4" w:rsidRPr="00C61221">
        <w:rPr>
          <w:bCs/>
          <w:sz w:val="28"/>
          <w:szCs w:val="28"/>
          <w:lang w:val="vi-VN" w:eastAsia="zh-CN"/>
        </w:rPr>
        <w:t xml:space="preserve">quản lý, theo dõi </w:t>
      </w:r>
      <w:r w:rsidR="004517D4" w:rsidRPr="00C61221">
        <w:rPr>
          <w:bCs/>
          <w:sz w:val="28"/>
          <w:szCs w:val="28"/>
          <w:lang w:eastAsia="zh-CN"/>
        </w:rPr>
        <w:t>THT của UBND cấp xã gặp nhiều khó khăn, chưa kịp thời.</w:t>
      </w:r>
    </w:p>
    <w:p w:rsidR="004517D4" w:rsidRPr="00C61221" w:rsidRDefault="004517D4" w:rsidP="00C61221">
      <w:pPr>
        <w:adjustRightInd w:val="0"/>
        <w:snapToGrid w:val="0"/>
        <w:spacing w:before="60" w:after="60"/>
        <w:ind w:firstLine="720"/>
        <w:jc w:val="center"/>
        <w:rPr>
          <w:i/>
          <w:iCs/>
          <w:sz w:val="28"/>
          <w:szCs w:val="28"/>
          <w:lang w:eastAsia="zh-CN"/>
        </w:rPr>
      </w:pPr>
      <w:bookmarkStart w:id="6" w:name="muc_3"/>
      <w:r w:rsidRPr="00C61221">
        <w:rPr>
          <w:i/>
          <w:iCs/>
          <w:sz w:val="28"/>
          <w:szCs w:val="28"/>
          <w:lang w:val="vi-VN" w:eastAsia="zh-CN"/>
        </w:rPr>
        <w:t>(</w:t>
      </w:r>
      <w:r w:rsidRPr="00C61221">
        <w:rPr>
          <w:i/>
          <w:iCs/>
          <w:sz w:val="28"/>
          <w:szCs w:val="28"/>
          <w:lang w:eastAsia="zh-CN"/>
        </w:rPr>
        <w:t xml:space="preserve">Chi tiết </w:t>
      </w:r>
      <w:r w:rsidRPr="00C61221">
        <w:rPr>
          <w:i/>
          <w:iCs/>
          <w:sz w:val="28"/>
          <w:szCs w:val="28"/>
          <w:lang w:val="vi-VN" w:eastAsia="zh-CN"/>
        </w:rPr>
        <w:t xml:space="preserve">Phụ lục </w:t>
      </w:r>
      <w:r w:rsidR="00DF5F21">
        <w:rPr>
          <w:i/>
          <w:iCs/>
          <w:sz w:val="28"/>
          <w:szCs w:val="28"/>
          <w:lang w:eastAsia="zh-CN"/>
        </w:rPr>
        <w:t>IV</w:t>
      </w:r>
      <w:r w:rsidR="00F83919">
        <w:rPr>
          <w:i/>
          <w:iCs/>
          <w:sz w:val="28"/>
          <w:szCs w:val="28"/>
          <w:lang w:eastAsia="zh-CN"/>
        </w:rPr>
        <w:t xml:space="preserve"> </w:t>
      </w:r>
      <w:r w:rsidRPr="00C61221">
        <w:rPr>
          <w:i/>
          <w:iCs/>
          <w:sz w:val="28"/>
          <w:szCs w:val="28"/>
          <w:lang w:eastAsia="zh-CN"/>
        </w:rPr>
        <w:t>-</w:t>
      </w:r>
      <w:r w:rsidRPr="00C61221">
        <w:rPr>
          <w:i/>
          <w:iCs/>
          <w:sz w:val="28"/>
          <w:szCs w:val="28"/>
          <w:lang w:val="vi-VN" w:eastAsia="zh-CN"/>
        </w:rPr>
        <w:t xml:space="preserve"> đính kèm)</w:t>
      </w:r>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val="vi-VN" w:eastAsia="zh-CN"/>
        </w:rPr>
        <w:t>III. ĐÁNH GIÁ KẾT QUẢ ĐẠT ĐƯỢC, TỒN TẠI HẠN CHẾ, NGUYÊN NHÂN, BÀI HỌC KINH NGHIỆM VÀ GIẢI PHÁP</w:t>
      </w:r>
      <w:bookmarkEnd w:id="6"/>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val="vi-VN" w:eastAsia="zh-CN"/>
        </w:rPr>
        <w:t>1. Kết quả đạt được</w:t>
      </w:r>
    </w:p>
    <w:p w:rsidR="004517D4" w:rsidRPr="00C61221" w:rsidRDefault="004517D4" w:rsidP="00C61221">
      <w:pPr>
        <w:spacing w:before="60" w:after="60"/>
        <w:ind w:firstLine="720"/>
        <w:jc w:val="both"/>
        <w:rPr>
          <w:sz w:val="28"/>
          <w:szCs w:val="28"/>
          <w:lang w:val="vi-VN" w:eastAsia="zh-CN"/>
        </w:rPr>
      </w:pPr>
      <w:r w:rsidRPr="00C61221">
        <w:rPr>
          <w:sz w:val="28"/>
          <w:szCs w:val="28"/>
          <w:lang w:eastAsia="zh-CN"/>
        </w:rPr>
        <w:t>Q</w:t>
      </w:r>
      <w:r w:rsidRPr="00C61221">
        <w:rPr>
          <w:sz w:val="28"/>
          <w:szCs w:val="28"/>
          <w:lang w:val="vi-VN" w:eastAsia="zh-CN"/>
        </w:rPr>
        <w:t>ua 10 năm triển khai thi hành Luật HTX năm 2012, tình hình phát triển HTX</w:t>
      </w:r>
      <w:r w:rsidRPr="00C61221">
        <w:rPr>
          <w:sz w:val="28"/>
          <w:szCs w:val="28"/>
          <w:lang w:eastAsia="zh-CN"/>
        </w:rPr>
        <w:t xml:space="preserve"> </w:t>
      </w:r>
      <w:r w:rsidRPr="00C61221">
        <w:rPr>
          <w:sz w:val="28"/>
          <w:szCs w:val="28"/>
          <w:lang w:val="vi-VN" w:eastAsia="zh-CN"/>
        </w:rPr>
        <w:t xml:space="preserve">trên địa bàn </w:t>
      </w:r>
      <w:r w:rsidR="00F83919">
        <w:rPr>
          <w:sz w:val="28"/>
          <w:szCs w:val="28"/>
          <w:lang w:eastAsia="zh-CN"/>
        </w:rPr>
        <w:t>T</w:t>
      </w:r>
      <w:r w:rsidRPr="00C61221">
        <w:rPr>
          <w:sz w:val="28"/>
          <w:szCs w:val="28"/>
          <w:lang w:val="vi-VN" w:eastAsia="zh-CN"/>
        </w:rPr>
        <w:t xml:space="preserve">ỉnh có nhiều chuyển biến tích cực, cụ thể: </w:t>
      </w:r>
      <w:r w:rsidRPr="00C61221">
        <w:rPr>
          <w:sz w:val="28"/>
          <w:szCs w:val="28"/>
          <w:lang w:val="sv-SE" w:eastAsia="zh-CN"/>
        </w:rPr>
        <w:t xml:space="preserve">phần lớn các HTX kinh doanh có lãi, trích lập được các quỹ, trả lương cho bộ máy quản lý, bảo toàn được vốn sản xuất - kinh doanh. Chấp hành tốt các chế độ, chính sách, pháp luật của Nhà nước, Luật </w:t>
      </w:r>
      <w:r w:rsidR="00F83919">
        <w:rPr>
          <w:sz w:val="28"/>
          <w:szCs w:val="28"/>
          <w:lang w:val="sv-SE" w:eastAsia="zh-CN"/>
        </w:rPr>
        <w:t>HTX</w:t>
      </w:r>
      <w:r w:rsidRPr="00C61221">
        <w:rPr>
          <w:sz w:val="28"/>
          <w:szCs w:val="28"/>
          <w:lang w:val="sv-SE" w:eastAsia="zh-CN"/>
        </w:rPr>
        <w:t xml:space="preserve"> năm 2012 như: </w:t>
      </w:r>
      <w:r w:rsidR="00F83919">
        <w:rPr>
          <w:sz w:val="28"/>
          <w:szCs w:val="28"/>
          <w:lang w:val="sv-SE" w:eastAsia="zh-CN"/>
        </w:rPr>
        <w:t>x</w:t>
      </w:r>
      <w:r w:rsidRPr="00C61221">
        <w:rPr>
          <w:sz w:val="28"/>
          <w:szCs w:val="28"/>
          <w:lang w:val="sv-SE" w:eastAsia="zh-CN"/>
        </w:rPr>
        <w:t xml:space="preserve">ây dựng Điều lệ HTX, phương án sản xuất - kinh doanh thực hiện chuyển đổi theo đúng Luật Hợp tác xã năm 2012. Các HTX chủ động hơn trong việc huy động các nguồn vốn để mở rộng sản xuất kinh doanh; đồng thời, tranh thủ sự hỗ trợ của Nhà nước để đầu tư thêm máy móc, thiết bị nâng cao năng suất và hiệu quả hoạt động. Các HTXNN liên kết với các doanh nghiệp nhằm cung cấp vật tư nông nghiệp đầu vào và tiêu thụ sản phẩm đầu ra cho thành viên và nông dân. </w:t>
      </w:r>
      <w:r w:rsidRPr="00C61221">
        <w:rPr>
          <w:sz w:val="28"/>
          <w:szCs w:val="28"/>
          <w:lang w:val="zu-ZA" w:eastAsia="zh-CN"/>
        </w:rPr>
        <w:t xml:space="preserve">Ngoài ra, một số HTX còn mở rộng các lĩnh vực dịch vụ như: </w:t>
      </w:r>
      <w:r w:rsidR="00F83919">
        <w:rPr>
          <w:sz w:val="28"/>
          <w:szCs w:val="28"/>
          <w:lang w:val="zu-ZA" w:eastAsia="zh-CN"/>
        </w:rPr>
        <w:t>n</w:t>
      </w:r>
      <w:r w:rsidRPr="00C61221">
        <w:rPr>
          <w:sz w:val="28"/>
          <w:szCs w:val="28"/>
          <w:lang w:val="zu-ZA" w:eastAsia="zh-CN"/>
        </w:rPr>
        <w:t>ước sạch nông thôn, vệ sinh môi trường, điện nông thôn,</w:t>
      </w:r>
      <w:r w:rsidRPr="00C61221">
        <w:rPr>
          <w:sz w:val="28"/>
          <w:szCs w:val="28"/>
          <w:lang w:val="vi-VN" w:eastAsia="zh-CN"/>
        </w:rPr>
        <w:t xml:space="preserve"> thu gôm rác thải sinh hoạt</w:t>
      </w:r>
      <w:r w:rsidRPr="00C61221">
        <w:rPr>
          <w:sz w:val="28"/>
          <w:szCs w:val="28"/>
          <w:lang w:val="zu-ZA" w:eastAsia="zh-CN"/>
        </w:rPr>
        <w:t>... phục vụ đời sống sinh hoạt và nâng cao giá trị tinh thần cho người dân nông thôn, thúc đẩy địa phương hoàn thành một số tiêu chí trong bộ tiêu chí xây dựng nông thôn mới.</w:t>
      </w:r>
    </w:p>
    <w:p w:rsidR="004517D4" w:rsidRPr="00C61221" w:rsidRDefault="004517D4" w:rsidP="00C61221">
      <w:pPr>
        <w:spacing w:before="60" w:after="60"/>
        <w:ind w:firstLine="720"/>
        <w:jc w:val="both"/>
        <w:rPr>
          <w:sz w:val="28"/>
          <w:szCs w:val="28"/>
          <w:lang w:val="pt-BR" w:eastAsia="zh-CN"/>
        </w:rPr>
      </w:pPr>
      <w:r w:rsidRPr="00C61221">
        <w:rPr>
          <w:sz w:val="28"/>
          <w:szCs w:val="28"/>
          <w:lang w:val="pt-BR" w:eastAsia="zh-CN"/>
        </w:rPr>
        <w:t xml:space="preserve">Công tác </w:t>
      </w:r>
      <w:r w:rsidRPr="00C61221">
        <w:rPr>
          <w:sz w:val="28"/>
          <w:szCs w:val="28"/>
          <w:lang w:val="de-DE" w:eastAsia="zh-CN"/>
        </w:rPr>
        <w:t xml:space="preserve">ban hành và phổ biến các văn bản hướng dẫn thi hành Luật HTX năm 2012 được UBND Tỉnh, các sở, ban, ngành, </w:t>
      </w:r>
      <w:r w:rsidRPr="00C61221">
        <w:rPr>
          <w:sz w:val="28"/>
          <w:szCs w:val="28"/>
          <w:lang w:val="pt-BR" w:eastAsia="zh-CN"/>
        </w:rPr>
        <w:t xml:space="preserve">cấp </w:t>
      </w:r>
      <w:r w:rsidR="00015662">
        <w:rPr>
          <w:sz w:val="28"/>
          <w:szCs w:val="28"/>
          <w:lang w:val="pt-BR" w:eastAsia="zh-CN"/>
        </w:rPr>
        <w:t>uỷ</w:t>
      </w:r>
      <w:r w:rsidRPr="00C61221">
        <w:rPr>
          <w:sz w:val="28"/>
          <w:szCs w:val="28"/>
          <w:lang w:val="pt-BR" w:eastAsia="zh-CN"/>
        </w:rPr>
        <w:t xml:space="preserve"> chính quyền, các ngành, các đoàn thể trong tỉnh quan tâm chủ động tích cực chỉ đạo quyết liệt, tổ chức thực hiện tạo sự chuyển biến trong nhận thức của cán bộ, đảng viên, nhân dân về vai trò kinh tế tập thể, Luật HTX năm 2012.</w:t>
      </w:r>
    </w:p>
    <w:p w:rsidR="004517D4" w:rsidRPr="00C61221" w:rsidRDefault="00F83919" w:rsidP="00C61221">
      <w:pPr>
        <w:spacing w:before="60" w:after="60"/>
        <w:ind w:firstLine="720"/>
        <w:jc w:val="both"/>
        <w:rPr>
          <w:bCs/>
          <w:sz w:val="28"/>
          <w:szCs w:val="28"/>
          <w:lang w:val="vi-VN" w:eastAsia="zh-CN"/>
        </w:rPr>
      </w:pPr>
      <w:r>
        <w:rPr>
          <w:sz w:val="28"/>
          <w:szCs w:val="28"/>
          <w:lang w:eastAsia="zh-CN"/>
        </w:rPr>
        <w:t xml:space="preserve">- </w:t>
      </w:r>
      <w:r w:rsidR="004517D4" w:rsidRPr="00F83919">
        <w:rPr>
          <w:i/>
          <w:sz w:val="28"/>
          <w:szCs w:val="28"/>
          <w:lang w:val="vi-VN" w:eastAsia="zh-CN"/>
        </w:rPr>
        <w:t>Về công tác kiện toàn bộ máy quản lý nhà nước về hợp tác xã</w:t>
      </w:r>
      <w:r w:rsidR="004517D4" w:rsidRPr="00C61221">
        <w:rPr>
          <w:sz w:val="28"/>
          <w:szCs w:val="28"/>
          <w:lang w:val="vi-VN" w:eastAsia="zh-CN"/>
        </w:rPr>
        <w:t xml:space="preserve">, </w:t>
      </w:r>
      <w:r w:rsidR="004517D4" w:rsidRPr="00C61221">
        <w:rPr>
          <w:sz w:val="28"/>
          <w:szCs w:val="28"/>
          <w:lang w:val="pt-BR" w:eastAsia="zh-CN"/>
        </w:rPr>
        <w:t xml:space="preserve">UBND </w:t>
      </w:r>
      <w:r w:rsidR="004517D4" w:rsidRPr="00C61221">
        <w:rPr>
          <w:sz w:val="28"/>
          <w:szCs w:val="28"/>
          <w:lang w:val="vi-VN" w:eastAsia="zh-CN"/>
        </w:rPr>
        <w:t xml:space="preserve">Tỉnh ban hành Quyết định số 126/QĐ-UBND-TL ngày 01/12/2017 về việc bổ sung thành viên và nhiệm vụ Ban chỉ đạo Chương trình </w:t>
      </w:r>
      <w:r>
        <w:rPr>
          <w:sz w:val="28"/>
          <w:szCs w:val="28"/>
          <w:lang w:eastAsia="zh-CN"/>
        </w:rPr>
        <w:t>MTQG</w:t>
      </w:r>
      <w:r w:rsidR="004517D4" w:rsidRPr="00C61221">
        <w:rPr>
          <w:sz w:val="28"/>
          <w:szCs w:val="28"/>
          <w:lang w:val="vi-VN" w:eastAsia="zh-CN"/>
        </w:rPr>
        <w:t xml:space="preserve"> xây dựng </w:t>
      </w:r>
      <w:r>
        <w:rPr>
          <w:sz w:val="28"/>
          <w:szCs w:val="28"/>
          <w:lang w:eastAsia="zh-CN"/>
        </w:rPr>
        <w:t>NTM</w:t>
      </w:r>
      <w:r w:rsidR="004517D4" w:rsidRPr="00C61221">
        <w:rPr>
          <w:sz w:val="28"/>
          <w:szCs w:val="28"/>
          <w:lang w:val="vi-VN" w:eastAsia="zh-CN"/>
        </w:rPr>
        <w:t xml:space="preserve"> và </w:t>
      </w:r>
      <w:r>
        <w:rPr>
          <w:sz w:val="28"/>
          <w:szCs w:val="28"/>
          <w:lang w:eastAsia="zh-CN"/>
        </w:rPr>
        <w:t>TCCNN</w:t>
      </w:r>
      <w:r w:rsidR="004517D4" w:rsidRPr="00C61221">
        <w:rPr>
          <w:sz w:val="28"/>
          <w:szCs w:val="28"/>
          <w:lang w:val="vi-VN" w:eastAsia="zh-CN"/>
        </w:rPr>
        <w:t xml:space="preserve"> tỉnh Đồng Tháp giai đoạn 2016</w:t>
      </w:r>
      <w:r>
        <w:rPr>
          <w:sz w:val="28"/>
          <w:szCs w:val="28"/>
          <w:lang w:eastAsia="zh-CN"/>
        </w:rPr>
        <w:t xml:space="preserve"> </w:t>
      </w:r>
      <w:r w:rsidR="004517D4" w:rsidRPr="00C61221">
        <w:rPr>
          <w:sz w:val="28"/>
          <w:szCs w:val="28"/>
          <w:lang w:val="vi-VN" w:eastAsia="zh-CN"/>
        </w:rPr>
        <w:t>-</w:t>
      </w:r>
      <w:r>
        <w:rPr>
          <w:sz w:val="28"/>
          <w:szCs w:val="28"/>
          <w:lang w:eastAsia="zh-CN"/>
        </w:rPr>
        <w:t xml:space="preserve"> </w:t>
      </w:r>
      <w:r w:rsidR="004517D4" w:rsidRPr="00C61221">
        <w:rPr>
          <w:sz w:val="28"/>
          <w:szCs w:val="28"/>
          <w:lang w:val="vi-VN" w:eastAsia="zh-CN"/>
        </w:rPr>
        <w:t xml:space="preserve">2020; bổ sung </w:t>
      </w:r>
      <w:r w:rsidR="004517D4" w:rsidRPr="00C61221">
        <w:rPr>
          <w:sz w:val="28"/>
          <w:szCs w:val="28"/>
          <w:lang w:val="pt-BR" w:eastAsia="zh-CN"/>
        </w:rPr>
        <w:t xml:space="preserve">thành viên Văn phòng Điều phối Chương trình </w:t>
      </w:r>
      <w:r>
        <w:rPr>
          <w:sz w:val="28"/>
          <w:szCs w:val="28"/>
          <w:lang w:val="pt-BR" w:eastAsia="zh-CN"/>
        </w:rPr>
        <w:t>MTQG X</w:t>
      </w:r>
      <w:r w:rsidR="004517D4" w:rsidRPr="00C61221">
        <w:rPr>
          <w:sz w:val="28"/>
          <w:szCs w:val="28"/>
          <w:lang w:val="pt-BR" w:eastAsia="zh-CN"/>
        </w:rPr>
        <w:t xml:space="preserve">ây dựng </w:t>
      </w:r>
      <w:r>
        <w:rPr>
          <w:sz w:val="28"/>
          <w:szCs w:val="28"/>
          <w:lang w:val="pt-BR" w:eastAsia="zh-CN"/>
        </w:rPr>
        <w:t>NTM</w:t>
      </w:r>
      <w:r w:rsidR="004517D4" w:rsidRPr="00C61221">
        <w:rPr>
          <w:sz w:val="28"/>
          <w:szCs w:val="28"/>
          <w:lang w:val="pt-BR" w:eastAsia="zh-CN"/>
        </w:rPr>
        <w:t xml:space="preserve"> tỉnh Đồng Tháp giai đoạn 2016 </w:t>
      </w:r>
      <w:r>
        <w:rPr>
          <w:sz w:val="28"/>
          <w:szCs w:val="28"/>
          <w:lang w:val="pt-BR" w:eastAsia="zh-CN"/>
        </w:rPr>
        <w:t xml:space="preserve">- </w:t>
      </w:r>
      <w:r w:rsidR="004517D4" w:rsidRPr="00C61221">
        <w:rPr>
          <w:sz w:val="28"/>
          <w:szCs w:val="28"/>
          <w:lang w:val="pt-BR" w:eastAsia="zh-CN"/>
        </w:rPr>
        <w:t>2020</w:t>
      </w:r>
      <w:r w:rsidR="004517D4" w:rsidRPr="00C61221">
        <w:rPr>
          <w:sz w:val="28"/>
          <w:szCs w:val="28"/>
          <w:lang w:val="vi-VN" w:eastAsia="zh-CN"/>
        </w:rPr>
        <w:t xml:space="preserve">. </w:t>
      </w:r>
      <w:r w:rsidR="00893143">
        <w:rPr>
          <w:sz w:val="28"/>
          <w:szCs w:val="28"/>
          <w:lang w:eastAsia="zh-CN"/>
        </w:rPr>
        <w:t xml:space="preserve">Qua đó, </w:t>
      </w:r>
      <w:r w:rsidR="004517D4" w:rsidRPr="00C61221">
        <w:rPr>
          <w:sz w:val="28"/>
          <w:szCs w:val="28"/>
          <w:lang w:val="vi-VN" w:eastAsia="zh-CN"/>
        </w:rPr>
        <w:t xml:space="preserve">các huyện, thành phố </w:t>
      </w:r>
      <w:r w:rsidR="00893143">
        <w:rPr>
          <w:sz w:val="28"/>
          <w:szCs w:val="28"/>
          <w:lang w:eastAsia="zh-CN"/>
        </w:rPr>
        <w:t xml:space="preserve">đã </w:t>
      </w:r>
      <w:r w:rsidR="004517D4" w:rsidRPr="00C61221">
        <w:rPr>
          <w:sz w:val="28"/>
          <w:szCs w:val="28"/>
          <w:lang w:val="vi-VN" w:eastAsia="zh-CN"/>
        </w:rPr>
        <w:t xml:space="preserve">kiện toàn Ban chỉ đạo Chương trình </w:t>
      </w:r>
      <w:r w:rsidR="00893143">
        <w:rPr>
          <w:sz w:val="28"/>
          <w:szCs w:val="28"/>
          <w:lang w:eastAsia="zh-CN"/>
        </w:rPr>
        <w:t>MTQG X</w:t>
      </w:r>
      <w:r w:rsidR="004517D4" w:rsidRPr="00C61221">
        <w:rPr>
          <w:sz w:val="28"/>
          <w:szCs w:val="28"/>
          <w:lang w:val="vi-VN" w:eastAsia="zh-CN"/>
        </w:rPr>
        <w:t xml:space="preserve">ây dựng </w:t>
      </w:r>
      <w:r w:rsidR="00893143">
        <w:rPr>
          <w:sz w:val="28"/>
          <w:szCs w:val="28"/>
          <w:lang w:eastAsia="zh-CN"/>
        </w:rPr>
        <w:t>NTM</w:t>
      </w:r>
      <w:r w:rsidR="004517D4" w:rsidRPr="00C61221">
        <w:rPr>
          <w:sz w:val="28"/>
          <w:szCs w:val="28"/>
          <w:lang w:val="vi-VN" w:eastAsia="zh-CN"/>
        </w:rPr>
        <w:t xml:space="preserve"> và </w:t>
      </w:r>
      <w:r w:rsidR="00893143">
        <w:rPr>
          <w:sz w:val="28"/>
          <w:szCs w:val="28"/>
          <w:lang w:eastAsia="zh-CN"/>
        </w:rPr>
        <w:t>TCCNN</w:t>
      </w:r>
      <w:r w:rsidR="004517D4" w:rsidRPr="00C61221">
        <w:rPr>
          <w:sz w:val="28"/>
          <w:szCs w:val="28"/>
          <w:lang w:val="vi-VN" w:eastAsia="zh-CN"/>
        </w:rPr>
        <w:t xml:space="preserve"> cấp huyện, trong đó bổ sung nhiệm vụ phát triển </w:t>
      </w:r>
      <w:r w:rsidR="00893143">
        <w:rPr>
          <w:sz w:val="28"/>
          <w:szCs w:val="28"/>
          <w:lang w:eastAsia="zh-CN"/>
        </w:rPr>
        <w:t>KTTT</w:t>
      </w:r>
      <w:r w:rsidR="004517D4" w:rsidRPr="00C61221">
        <w:rPr>
          <w:sz w:val="28"/>
          <w:szCs w:val="28"/>
          <w:lang w:val="vi-VN" w:eastAsia="zh-CN"/>
        </w:rPr>
        <w:t xml:space="preserve"> cấp huyện, </w:t>
      </w:r>
      <w:r w:rsidR="004517D4" w:rsidRPr="00C61221">
        <w:rPr>
          <w:bCs/>
          <w:sz w:val="28"/>
          <w:szCs w:val="28"/>
          <w:lang w:val="sv-SE" w:eastAsia="zh-CN"/>
        </w:rPr>
        <w:t>với mục đích tăng cường thực hiện công tác quản lý nhà nước, đẩy mạnh thực hiện các giải pháp hỗ trợ phát triển HTX gắn với thực hiện chức năng, nhiệm vụ của các đơn vị theo quy định Luật HTX năm 2012 và các văn bản hướng dẫn th</w:t>
      </w:r>
      <w:r w:rsidR="004517D4" w:rsidRPr="00C61221">
        <w:rPr>
          <w:bCs/>
          <w:sz w:val="28"/>
          <w:szCs w:val="28"/>
          <w:lang w:val="vi-VN" w:eastAsia="zh-CN"/>
        </w:rPr>
        <w:t>i</w:t>
      </w:r>
      <w:r w:rsidR="004517D4" w:rsidRPr="00C61221">
        <w:rPr>
          <w:bCs/>
          <w:sz w:val="28"/>
          <w:szCs w:val="28"/>
          <w:lang w:val="sv-SE" w:eastAsia="zh-CN"/>
        </w:rPr>
        <w:t xml:space="preserve"> hành, để kịp thời tháo gỡ khó khăn cho HTX phát triển.</w:t>
      </w:r>
    </w:p>
    <w:p w:rsidR="004517D4" w:rsidRPr="00C61221" w:rsidRDefault="004517D4" w:rsidP="00C61221">
      <w:pPr>
        <w:spacing w:before="60" w:after="60"/>
        <w:ind w:firstLine="720"/>
        <w:jc w:val="both"/>
        <w:rPr>
          <w:sz w:val="28"/>
          <w:szCs w:val="28"/>
          <w:lang w:val="vi-VN" w:eastAsia="zh-CN"/>
        </w:rPr>
      </w:pPr>
      <w:r w:rsidRPr="00C61221">
        <w:rPr>
          <w:sz w:val="28"/>
          <w:szCs w:val="28"/>
          <w:lang w:val="de-DE" w:eastAsia="zh-CN"/>
        </w:rPr>
        <w:t xml:space="preserve">- Các chính sách theo quy định của Luật HTX năm 2012 được UBND Tỉnh qua tâm triển khai thực hiện, thông qua các chính sách góp phần nâng cao năng lực, trình độ của cán bộ quản lý HTX, hỗ trợ khuyến khích các HTX đầu tư mua sắm trang thiết bị máy móc, tiếp cận ứng dụng công nghệ cao vào sản xuất, đã hình thành nhiều </w:t>
      </w:r>
      <w:r w:rsidRPr="00C61221">
        <w:rPr>
          <w:sz w:val="28"/>
          <w:szCs w:val="28"/>
          <w:lang w:val="vi-VN" w:eastAsia="zh-CN"/>
        </w:rPr>
        <w:t xml:space="preserve">HTX ứng dụng công nghệ cao, liên kết sản xuất kinh doanh theo chuỗi giá trị; các </w:t>
      </w:r>
      <w:r w:rsidRPr="00C61221">
        <w:rPr>
          <w:sz w:val="28"/>
          <w:szCs w:val="28"/>
          <w:lang w:val="de-DE" w:eastAsia="zh-CN"/>
        </w:rPr>
        <w:t>chính sách như hỗ trợ cơ sở hạ tầng, tiến thương mại... giúp hệ thống cơ sở hạ tầng phục vụ sản xuấtcủa các HTX được nâng cấp và hoàn thiện, các HTX tiếp cận thị trường, nâng cao năng lực tiêu thụ sản phẩm.</w:t>
      </w:r>
    </w:p>
    <w:p w:rsidR="004517D4" w:rsidRPr="00893143" w:rsidRDefault="004517D4" w:rsidP="00C61221">
      <w:pPr>
        <w:spacing w:before="60" w:after="60"/>
        <w:ind w:firstLine="720"/>
        <w:contextualSpacing/>
        <w:jc w:val="both"/>
        <w:rPr>
          <w:rFonts w:eastAsia="Calibri"/>
          <w:bCs/>
          <w:sz w:val="28"/>
          <w:szCs w:val="28"/>
        </w:rPr>
      </w:pPr>
      <w:r w:rsidRPr="00893143">
        <w:rPr>
          <w:rFonts w:eastAsia="Calibri"/>
          <w:bCs/>
          <w:sz w:val="28"/>
          <w:szCs w:val="28"/>
        </w:rPr>
        <w:t xml:space="preserve">Tính đến nay, </w:t>
      </w:r>
      <w:r w:rsidRPr="00893143">
        <w:rPr>
          <w:rFonts w:eastAsia="Calibri"/>
          <w:bCs/>
          <w:sz w:val="28"/>
          <w:szCs w:val="28"/>
          <w:lang w:val="nl-NL"/>
        </w:rPr>
        <w:t xml:space="preserve">tỷ trọng đóng góp GRDP của khu vực </w:t>
      </w:r>
      <w:r w:rsidRPr="00893143">
        <w:rPr>
          <w:rFonts w:eastAsia="Calibri"/>
          <w:bCs/>
          <w:sz w:val="28"/>
          <w:szCs w:val="28"/>
          <w:lang w:val="vi-VN"/>
        </w:rPr>
        <w:t>kinh tế tập thể</w:t>
      </w:r>
      <w:r w:rsidRPr="00893143">
        <w:rPr>
          <w:rFonts w:eastAsia="Calibri"/>
          <w:bCs/>
          <w:sz w:val="28"/>
          <w:szCs w:val="28"/>
          <w:lang w:val="nl-NL"/>
        </w:rPr>
        <w:t xml:space="preserve"> từ 0,6% vào năm 2010 đã tăng lên 1,14 % vào năm 2018, cả giai đoạn 2010 - 2018 là 18,4% </w:t>
      </w:r>
      <w:r w:rsidRPr="00893143">
        <w:rPr>
          <w:rFonts w:eastAsia="Calibri"/>
          <w:bCs/>
          <w:sz w:val="28"/>
          <w:szCs w:val="28"/>
          <w:vertAlign w:val="superscript"/>
          <w:lang w:val="nl-NL"/>
        </w:rPr>
        <w:t>(</w:t>
      </w:r>
      <w:r w:rsidRPr="00893143">
        <w:rPr>
          <w:rFonts w:eastAsia="Calibri"/>
          <w:bCs/>
          <w:sz w:val="28"/>
          <w:szCs w:val="28"/>
          <w:vertAlign w:val="superscript"/>
          <w:lang w:val="nl-NL"/>
        </w:rPr>
        <w:footnoteReference w:id="30"/>
      </w:r>
      <w:r w:rsidRPr="00893143">
        <w:rPr>
          <w:rFonts w:eastAsia="Calibri"/>
          <w:bCs/>
          <w:sz w:val="28"/>
          <w:szCs w:val="28"/>
          <w:vertAlign w:val="superscript"/>
          <w:lang w:val="nl-NL"/>
        </w:rPr>
        <w:t>)</w:t>
      </w:r>
      <w:r w:rsidR="00893143">
        <w:rPr>
          <w:rFonts w:eastAsia="Calibri"/>
          <w:bCs/>
          <w:sz w:val="28"/>
          <w:szCs w:val="28"/>
          <w:lang w:val="nl-NL"/>
        </w:rPr>
        <w:t>.</w:t>
      </w:r>
    </w:p>
    <w:p w:rsidR="004517D4" w:rsidRPr="00C61221" w:rsidRDefault="004517D4" w:rsidP="00C61221">
      <w:pPr>
        <w:adjustRightInd w:val="0"/>
        <w:snapToGrid w:val="0"/>
        <w:spacing w:before="60" w:after="60"/>
        <w:ind w:firstLine="720"/>
        <w:jc w:val="both"/>
        <w:rPr>
          <w:sz w:val="28"/>
          <w:szCs w:val="28"/>
          <w:lang w:eastAsia="zh-CN"/>
        </w:rPr>
      </w:pPr>
      <w:r w:rsidRPr="00C61221">
        <w:rPr>
          <w:b/>
          <w:bCs/>
          <w:sz w:val="28"/>
          <w:szCs w:val="28"/>
          <w:lang w:val="vi-VN" w:eastAsia="zh-CN"/>
        </w:rPr>
        <w:t>2. Tồn tại, hạn chế và nguyên nhân</w:t>
      </w:r>
    </w:p>
    <w:p w:rsidR="004517D4" w:rsidRPr="00C61221" w:rsidRDefault="004517D4" w:rsidP="00C61221">
      <w:pPr>
        <w:adjustRightInd w:val="0"/>
        <w:snapToGrid w:val="0"/>
        <w:spacing w:before="60" w:after="60"/>
        <w:ind w:firstLine="720"/>
        <w:jc w:val="both"/>
        <w:rPr>
          <w:i/>
          <w:sz w:val="28"/>
          <w:szCs w:val="28"/>
          <w:lang w:eastAsia="zh-CN"/>
        </w:rPr>
      </w:pPr>
      <w:r w:rsidRPr="00C61221">
        <w:rPr>
          <w:bCs/>
          <w:i/>
          <w:sz w:val="28"/>
          <w:szCs w:val="28"/>
          <w:lang w:val="vi-VN" w:eastAsia="zh-CN"/>
        </w:rPr>
        <w:t xml:space="preserve">2.1. Đối với </w:t>
      </w:r>
      <w:r w:rsidRPr="00C61221">
        <w:rPr>
          <w:bCs/>
          <w:i/>
          <w:sz w:val="28"/>
          <w:szCs w:val="28"/>
          <w:lang w:eastAsia="zh-CN"/>
        </w:rPr>
        <w:t>c</w:t>
      </w:r>
      <w:r w:rsidRPr="00C61221">
        <w:rPr>
          <w:bCs/>
          <w:i/>
          <w:sz w:val="28"/>
          <w:szCs w:val="28"/>
          <w:lang w:val="vi-VN" w:eastAsia="zh-CN"/>
        </w:rPr>
        <w:t>ơ quan quản lý nhà nước và cơ quan có liên quan</w:t>
      </w:r>
    </w:p>
    <w:p w:rsidR="004517D4" w:rsidRPr="00C61221" w:rsidRDefault="004517D4" w:rsidP="00C61221">
      <w:pPr>
        <w:spacing w:before="60" w:after="60"/>
        <w:ind w:firstLine="720"/>
        <w:jc w:val="both"/>
        <w:rPr>
          <w:i/>
          <w:sz w:val="28"/>
          <w:szCs w:val="28"/>
          <w:lang w:eastAsia="zh-CN"/>
        </w:rPr>
      </w:pPr>
      <w:r w:rsidRPr="00C61221">
        <w:rPr>
          <w:i/>
          <w:sz w:val="28"/>
          <w:szCs w:val="28"/>
          <w:lang w:eastAsia="zh-CN"/>
        </w:rPr>
        <w:t xml:space="preserve">a) </w:t>
      </w:r>
      <w:r w:rsidRPr="00C61221">
        <w:rPr>
          <w:i/>
          <w:sz w:val="28"/>
          <w:szCs w:val="28"/>
          <w:lang w:val="vi-VN" w:eastAsia="zh-CN"/>
        </w:rPr>
        <w:t>Trong việc</w:t>
      </w:r>
      <w:r w:rsidRPr="00C61221">
        <w:rPr>
          <w:i/>
          <w:sz w:val="28"/>
          <w:szCs w:val="28"/>
          <w:lang w:eastAsia="zh-CN"/>
        </w:rPr>
        <w:t xml:space="preserve"> xây dựng, sửa đổi, bổ sung và triển khai cơ chế, chính sách ưu đãi, hỗ trợ phát triển KTTT</w:t>
      </w:r>
    </w:p>
    <w:p w:rsidR="004517D4" w:rsidRPr="00C61221" w:rsidRDefault="004517D4" w:rsidP="00893143">
      <w:pPr>
        <w:spacing w:before="60" w:after="60"/>
        <w:ind w:firstLine="720"/>
        <w:jc w:val="both"/>
        <w:rPr>
          <w:spacing w:val="-8"/>
          <w:sz w:val="28"/>
          <w:szCs w:val="28"/>
          <w:lang w:eastAsia="zh-CN"/>
        </w:rPr>
      </w:pPr>
      <w:r w:rsidRPr="00C61221">
        <w:rPr>
          <w:bCs/>
          <w:sz w:val="28"/>
          <w:szCs w:val="28"/>
          <w:lang w:val="vi-VN" w:eastAsia="zh-CN"/>
        </w:rPr>
        <w:t>C</w:t>
      </w:r>
      <w:r w:rsidRPr="00C61221">
        <w:rPr>
          <w:iCs/>
          <w:sz w:val="28"/>
          <w:szCs w:val="28"/>
          <w:lang w:val="vi-VN" w:eastAsia="zh-CN"/>
        </w:rPr>
        <w:t>ó nhiều</w:t>
      </w:r>
      <w:r w:rsidRPr="00C61221">
        <w:rPr>
          <w:iCs/>
          <w:sz w:val="28"/>
          <w:szCs w:val="28"/>
          <w:lang w:val="sv-SE" w:eastAsia="zh-CN"/>
        </w:rPr>
        <w:t xml:space="preserve"> chính sách </w:t>
      </w:r>
      <w:r w:rsidRPr="00C61221">
        <w:rPr>
          <w:iCs/>
          <w:sz w:val="28"/>
          <w:szCs w:val="28"/>
          <w:lang w:val="vi-VN" w:eastAsia="zh-CN"/>
        </w:rPr>
        <w:t xml:space="preserve">hỗ trợ </w:t>
      </w:r>
      <w:r w:rsidRPr="00C61221">
        <w:rPr>
          <w:bCs/>
          <w:sz w:val="28"/>
          <w:szCs w:val="28"/>
          <w:lang w:val="af-ZA" w:eastAsia="zh-CN"/>
        </w:rPr>
        <w:t xml:space="preserve">phát triển KTTT, HTX nhưng </w:t>
      </w:r>
      <w:r w:rsidRPr="00C61221">
        <w:rPr>
          <w:iCs/>
          <w:sz w:val="28"/>
          <w:szCs w:val="28"/>
          <w:lang w:val="sv-SE" w:eastAsia="zh-CN"/>
        </w:rPr>
        <w:t xml:space="preserve">không có nguồn kinh phí riêng để thực hiện; </w:t>
      </w:r>
      <w:r w:rsidRPr="00C61221">
        <w:rPr>
          <w:sz w:val="28"/>
          <w:szCs w:val="28"/>
          <w:lang w:eastAsia="zh-CN"/>
        </w:rPr>
        <w:t>bố trí phân tán rải rác nhiều chương trình, giao nhiều đầu mối cơ quan thực hiện</w:t>
      </w:r>
      <w:r w:rsidRPr="00C61221">
        <w:rPr>
          <w:spacing w:val="-4"/>
          <w:sz w:val="28"/>
          <w:szCs w:val="28"/>
          <w:lang w:eastAsia="zh-CN"/>
        </w:rPr>
        <w:t>, nội dung một số cơ chế, chính sách còn chồng chéo, trùng lắp, thiếu đồng bộ, chưa thật sự sát với nhu cầu thực tế.</w:t>
      </w:r>
      <w:r w:rsidR="00893143">
        <w:rPr>
          <w:spacing w:val="-4"/>
          <w:sz w:val="28"/>
          <w:szCs w:val="28"/>
          <w:lang w:eastAsia="zh-CN"/>
        </w:rPr>
        <w:t xml:space="preserve"> </w:t>
      </w:r>
      <w:r w:rsidRPr="00C61221">
        <w:rPr>
          <w:spacing w:val="-4"/>
          <w:sz w:val="28"/>
          <w:szCs w:val="28"/>
          <w:lang w:eastAsia="zh-CN"/>
        </w:rPr>
        <w:t xml:space="preserve">Một số cơ chế chính sách ban hành nhưng việc hướng dẫn triển khai và bố trí nguồn lực hỗ trợ chưa kịp thời. </w:t>
      </w:r>
    </w:p>
    <w:p w:rsidR="004517D4" w:rsidRPr="00893143" w:rsidRDefault="004517D4" w:rsidP="00C61221">
      <w:pPr>
        <w:spacing w:before="60" w:after="60"/>
        <w:ind w:firstLine="720"/>
        <w:jc w:val="both"/>
        <w:rPr>
          <w:spacing w:val="-2"/>
          <w:sz w:val="28"/>
          <w:szCs w:val="28"/>
          <w:lang w:eastAsia="zh-CN"/>
        </w:rPr>
      </w:pPr>
      <w:r w:rsidRPr="00893143">
        <w:rPr>
          <w:bCs/>
          <w:i/>
          <w:spacing w:val="-2"/>
          <w:sz w:val="28"/>
          <w:szCs w:val="28"/>
          <w:lang w:val="vi-VN" w:eastAsia="zh-CN"/>
        </w:rPr>
        <w:t>Nguyên nhân</w:t>
      </w:r>
      <w:r w:rsidRPr="00893143">
        <w:rPr>
          <w:bCs/>
          <w:spacing w:val="-2"/>
          <w:sz w:val="28"/>
          <w:szCs w:val="28"/>
          <w:lang w:val="vi-VN" w:eastAsia="zh-CN"/>
        </w:rPr>
        <w:t xml:space="preserve">: </w:t>
      </w:r>
      <w:r w:rsidR="00893143" w:rsidRPr="00893143">
        <w:rPr>
          <w:bCs/>
          <w:spacing w:val="-2"/>
          <w:sz w:val="28"/>
          <w:szCs w:val="28"/>
          <w:lang w:eastAsia="zh-CN"/>
        </w:rPr>
        <w:t>c</w:t>
      </w:r>
      <w:r w:rsidRPr="00893143">
        <w:rPr>
          <w:bCs/>
          <w:spacing w:val="-2"/>
          <w:sz w:val="28"/>
          <w:szCs w:val="28"/>
          <w:lang w:eastAsia="zh-CN"/>
        </w:rPr>
        <w:t xml:space="preserve">hính sách ban hành chưa </w:t>
      </w:r>
      <w:r w:rsidRPr="00893143">
        <w:rPr>
          <w:spacing w:val="-2"/>
          <w:sz w:val="28"/>
          <w:szCs w:val="28"/>
          <w:lang w:eastAsia="zh-CN"/>
        </w:rPr>
        <w:t>xem xét đến điều kiện về quy mô hoạt động, lĩnh vực hoạt động, số lượng thành viên…</w:t>
      </w:r>
      <w:r w:rsidR="00893143" w:rsidRPr="00893143">
        <w:rPr>
          <w:spacing w:val="-2"/>
          <w:sz w:val="28"/>
          <w:szCs w:val="28"/>
          <w:lang w:eastAsia="zh-CN"/>
        </w:rPr>
        <w:t xml:space="preserve"> </w:t>
      </w:r>
      <w:r w:rsidRPr="00893143">
        <w:rPr>
          <w:spacing w:val="-2"/>
          <w:sz w:val="28"/>
          <w:szCs w:val="28"/>
          <w:lang w:eastAsia="zh-CN"/>
        </w:rPr>
        <w:t xml:space="preserve">dẫn đến điều kiện thụ hưởng khó đáp ứng; </w:t>
      </w:r>
      <w:r w:rsidRPr="00893143">
        <w:rPr>
          <w:spacing w:val="-2"/>
          <w:sz w:val="28"/>
          <w:szCs w:val="28"/>
          <w:lang w:val="sv-SE" w:eastAsia="zh-CN"/>
        </w:rPr>
        <w:t xml:space="preserve">do đó có các chính sách hầu như chưa hỗ trợ được cho HTX. </w:t>
      </w:r>
    </w:p>
    <w:p w:rsidR="004517D4" w:rsidRPr="00C61221" w:rsidRDefault="004517D4" w:rsidP="00C61221">
      <w:pPr>
        <w:spacing w:before="60" w:after="60"/>
        <w:ind w:firstLine="720"/>
        <w:contextualSpacing/>
        <w:jc w:val="both"/>
        <w:rPr>
          <w:i/>
          <w:sz w:val="28"/>
          <w:szCs w:val="28"/>
          <w:lang w:eastAsia="zh-CN"/>
        </w:rPr>
      </w:pPr>
      <w:r w:rsidRPr="00C61221">
        <w:rPr>
          <w:i/>
          <w:sz w:val="28"/>
          <w:szCs w:val="28"/>
          <w:lang w:eastAsia="zh-CN"/>
        </w:rPr>
        <w:t>b) Trong công t</w:t>
      </w:r>
      <w:r w:rsidR="00893143">
        <w:rPr>
          <w:i/>
          <w:sz w:val="28"/>
          <w:szCs w:val="28"/>
          <w:lang w:eastAsia="zh-CN"/>
        </w:rPr>
        <w:t>ác quản lý của nhà nước về KTTT</w:t>
      </w:r>
    </w:p>
    <w:p w:rsidR="004517D4" w:rsidRPr="00C61221" w:rsidRDefault="004517D4" w:rsidP="00C61221">
      <w:pPr>
        <w:spacing w:before="60" w:after="60"/>
        <w:ind w:firstLine="720"/>
        <w:contextualSpacing/>
        <w:jc w:val="both"/>
        <w:rPr>
          <w:sz w:val="28"/>
          <w:szCs w:val="28"/>
          <w:lang w:eastAsia="zh-CN"/>
        </w:rPr>
      </w:pPr>
      <w:r w:rsidRPr="00C61221">
        <w:rPr>
          <w:sz w:val="28"/>
          <w:szCs w:val="28"/>
          <w:lang w:eastAsia="zh-CN"/>
        </w:rPr>
        <w:t xml:space="preserve">Ngành Kế hoạch và Đầu tư được giao nhiệm vụ quản lý nhà nước về KTTT. Tuy nhiên, do hầu hết kinh phí hỗ trợ phát triển KTTT, HTX được lồng ghép vào các Chương trình </w:t>
      </w:r>
      <w:r w:rsidR="00893143">
        <w:rPr>
          <w:sz w:val="28"/>
          <w:szCs w:val="28"/>
          <w:lang w:eastAsia="zh-CN"/>
        </w:rPr>
        <w:t xml:space="preserve">MTQG Xây dựng </w:t>
      </w:r>
      <w:r w:rsidRPr="00C61221">
        <w:rPr>
          <w:sz w:val="28"/>
          <w:szCs w:val="28"/>
          <w:lang w:eastAsia="zh-CN"/>
        </w:rPr>
        <w:t xml:space="preserve">NTM, Chương trình khuyến nông, khuyến ngư, Chương trình </w:t>
      </w:r>
      <w:r w:rsidR="00893143">
        <w:rPr>
          <w:sz w:val="28"/>
          <w:szCs w:val="28"/>
          <w:lang w:eastAsia="zh-CN"/>
        </w:rPr>
        <w:t>MTQG Giảm nghèo bền vững,</w:t>
      </w:r>
      <w:r w:rsidRPr="00C61221">
        <w:rPr>
          <w:sz w:val="28"/>
          <w:szCs w:val="28"/>
          <w:lang w:eastAsia="zh-CN"/>
        </w:rPr>
        <w:t>…</w:t>
      </w:r>
      <w:r w:rsidR="00893143">
        <w:rPr>
          <w:sz w:val="28"/>
          <w:szCs w:val="28"/>
          <w:lang w:eastAsia="zh-CN"/>
        </w:rPr>
        <w:t xml:space="preserve"> </w:t>
      </w:r>
      <w:r w:rsidRPr="00C61221">
        <w:rPr>
          <w:sz w:val="28"/>
          <w:szCs w:val="28"/>
          <w:lang w:eastAsia="zh-CN"/>
        </w:rPr>
        <w:t xml:space="preserve">nên việc trực tiếp triển khai các chính sách hỗ trợ phát triển KTTT, HTX chủ yếu do </w:t>
      </w:r>
      <w:r w:rsidR="00893143">
        <w:rPr>
          <w:sz w:val="28"/>
          <w:szCs w:val="28"/>
          <w:lang w:eastAsia="zh-CN"/>
        </w:rPr>
        <w:t>n</w:t>
      </w:r>
      <w:r w:rsidRPr="00C61221">
        <w:rPr>
          <w:sz w:val="28"/>
          <w:szCs w:val="28"/>
          <w:lang w:eastAsia="zh-CN"/>
        </w:rPr>
        <w:t xml:space="preserve">gành </w:t>
      </w:r>
      <w:r w:rsidR="00893143">
        <w:rPr>
          <w:sz w:val="28"/>
          <w:szCs w:val="28"/>
          <w:lang w:eastAsia="zh-CN"/>
        </w:rPr>
        <w:t>N</w:t>
      </w:r>
      <w:r w:rsidRPr="00C61221">
        <w:rPr>
          <w:sz w:val="28"/>
          <w:szCs w:val="28"/>
          <w:lang w:eastAsia="zh-CN"/>
        </w:rPr>
        <w:t xml:space="preserve">ông nghiệp và các địa phương phụ trách. </w:t>
      </w:r>
    </w:p>
    <w:p w:rsidR="004517D4" w:rsidRPr="00C61221" w:rsidRDefault="004517D4" w:rsidP="00C61221">
      <w:pPr>
        <w:spacing w:before="60" w:after="60"/>
        <w:ind w:firstLine="720"/>
        <w:contextualSpacing/>
        <w:jc w:val="both"/>
        <w:rPr>
          <w:sz w:val="28"/>
          <w:szCs w:val="28"/>
          <w:lang w:eastAsia="zh-CN"/>
        </w:rPr>
      </w:pPr>
      <w:r w:rsidRPr="00C61221">
        <w:rPr>
          <w:sz w:val="28"/>
          <w:szCs w:val="28"/>
          <w:lang w:eastAsia="zh-CN"/>
        </w:rPr>
        <w:t xml:space="preserve">Ngoài ra, do đặc thù của từng địa phương số lượng lĩnh vực hoạt động của HTX, THT mà giao song song nhiệm vụ cho Phòng Tài chính </w:t>
      </w:r>
      <w:r w:rsidR="00893143">
        <w:rPr>
          <w:sz w:val="28"/>
          <w:szCs w:val="28"/>
          <w:lang w:eastAsia="zh-CN"/>
        </w:rPr>
        <w:t>-</w:t>
      </w:r>
      <w:r w:rsidRPr="00C61221">
        <w:rPr>
          <w:sz w:val="28"/>
          <w:szCs w:val="28"/>
          <w:lang w:eastAsia="zh-CN"/>
        </w:rPr>
        <w:t xml:space="preserve"> Kế hoạch, Phòng Nông nghiệp (hoặc Phòng Kinh tế</w:t>
      </w:r>
      <w:r w:rsidR="00893143">
        <w:rPr>
          <w:sz w:val="28"/>
          <w:szCs w:val="28"/>
          <w:lang w:eastAsia="zh-CN"/>
        </w:rPr>
        <w:t xml:space="preserve"> </w:t>
      </w:r>
      <w:r w:rsidRPr="00C61221">
        <w:rPr>
          <w:sz w:val="28"/>
          <w:szCs w:val="28"/>
          <w:lang w:eastAsia="zh-CN"/>
        </w:rPr>
        <w:t>- Hạ tầng) thực hiện.</w:t>
      </w:r>
    </w:p>
    <w:p w:rsidR="004517D4" w:rsidRPr="00C61221" w:rsidRDefault="004517D4" w:rsidP="00C61221">
      <w:pPr>
        <w:spacing w:before="60" w:after="60"/>
        <w:ind w:firstLine="720"/>
        <w:contextualSpacing/>
        <w:jc w:val="both"/>
        <w:rPr>
          <w:sz w:val="28"/>
          <w:szCs w:val="28"/>
          <w:lang w:eastAsia="zh-CN"/>
        </w:rPr>
      </w:pPr>
      <w:r w:rsidRPr="00C61221">
        <w:rPr>
          <w:sz w:val="28"/>
          <w:szCs w:val="28"/>
          <w:lang w:eastAsia="zh-CN"/>
        </w:rPr>
        <w:t>Chính vì có nhiều đầu mối quản lý (có đầu mối quản lý nhưng không trực tiếp triển khai các chính sách hỗ trợ), cán bộ chủ yếu là kiêm n</w:t>
      </w:r>
      <w:r w:rsidR="0035252B">
        <w:rPr>
          <w:sz w:val="28"/>
          <w:szCs w:val="28"/>
          <w:lang w:eastAsia="zh-CN"/>
        </w:rPr>
        <w:t xml:space="preserve">hiệm; ít kinh nghiệm thực tiễn… </w:t>
      </w:r>
      <w:r w:rsidRPr="00C61221">
        <w:rPr>
          <w:sz w:val="28"/>
          <w:szCs w:val="28"/>
          <w:lang w:eastAsia="zh-CN"/>
        </w:rPr>
        <w:t>nên công tác tham mưu quản lý nhà nước về KTTT chưa sâu sát, chưa kịp thời, chưa đánh giá đúng thực chất tình hình phát triển KTTT, HTX trên địa bàn.</w:t>
      </w:r>
    </w:p>
    <w:p w:rsidR="004517D4" w:rsidRPr="00C61221" w:rsidRDefault="004517D4" w:rsidP="00C61221">
      <w:pPr>
        <w:spacing w:before="60" w:after="60"/>
        <w:ind w:firstLine="720"/>
        <w:contextualSpacing/>
        <w:jc w:val="both"/>
        <w:rPr>
          <w:sz w:val="28"/>
          <w:szCs w:val="28"/>
          <w:lang w:eastAsia="zh-CN"/>
        </w:rPr>
      </w:pPr>
      <w:r w:rsidRPr="00C61221">
        <w:rPr>
          <w:bCs/>
          <w:i/>
          <w:sz w:val="28"/>
          <w:szCs w:val="28"/>
        </w:rPr>
        <w:t xml:space="preserve">Nguyên nhân: </w:t>
      </w:r>
      <w:r w:rsidRPr="00C61221">
        <w:rPr>
          <w:bCs/>
          <w:sz w:val="28"/>
          <w:szCs w:val="28"/>
        </w:rPr>
        <w:t xml:space="preserve">phụ thuộc vào biên chế, vào nhiệm vụ được giao trực tiếp thực hiện chính sách hỗ trợ </w:t>
      </w:r>
      <w:r w:rsidRPr="00C61221">
        <w:rPr>
          <w:sz w:val="28"/>
          <w:szCs w:val="28"/>
          <w:lang w:eastAsia="zh-CN"/>
        </w:rPr>
        <w:t>phát triển KTTT, HTX.</w:t>
      </w:r>
      <w:r w:rsidRPr="00C61221">
        <w:rPr>
          <w:bCs/>
          <w:sz w:val="28"/>
          <w:szCs w:val="28"/>
        </w:rPr>
        <w:t xml:space="preserve"> </w:t>
      </w:r>
    </w:p>
    <w:p w:rsidR="004517D4" w:rsidRPr="00C61221" w:rsidRDefault="004517D4" w:rsidP="00C61221">
      <w:pPr>
        <w:spacing w:before="60" w:after="60"/>
        <w:ind w:firstLine="720"/>
        <w:contextualSpacing/>
        <w:jc w:val="both"/>
        <w:rPr>
          <w:i/>
          <w:sz w:val="28"/>
          <w:szCs w:val="28"/>
          <w:lang w:eastAsia="zh-CN"/>
        </w:rPr>
      </w:pPr>
      <w:r w:rsidRPr="00C61221">
        <w:rPr>
          <w:i/>
          <w:sz w:val="28"/>
          <w:szCs w:val="28"/>
          <w:lang w:eastAsia="zh-CN"/>
        </w:rPr>
        <w:t xml:space="preserve">c) Trong phát huy vai trò của Liên minh </w:t>
      </w:r>
      <w:r w:rsidR="0035252B">
        <w:rPr>
          <w:i/>
          <w:sz w:val="28"/>
          <w:szCs w:val="28"/>
          <w:lang w:eastAsia="zh-CN"/>
        </w:rPr>
        <w:t>HTX</w:t>
      </w:r>
      <w:r w:rsidRPr="00C61221">
        <w:rPr>
          <w:i/>
          <w:sz w:val="28"/>
          <w:szCs w:val="28"/>
          <w:lang w:eastAsia="zh-CN"/>
        </w:rPr>
        <w:t xml:space="preserve"> Việt Nam, Mặt trận Tổ quốc </w:t>
      </w:r>
      <w:r w:rsidR="0035252B">
        <w:rPr>
          <w:i/>
          <w:sz w:val="28"/>
          <w:szCs w:val="28"/>
          <w:lang w:eastAsia="zh-CN"/>
        </w:rPr>
        <w:t xml:space="preserve">Việt Nam </w:t>
      </w:r>
      <w:r w:rsidRPr="00C61221">
        <w:rPr>
          <w:i/>
          <w:sz w:val="28"/>
          <w:szCs w:val="28"/>
          <w:lang w:eastAsia="zh-CN"/>
        </w:rPr>
        <w:t xml:space="preserve">và các đoàn thể nhân dân </w:t>
      </w:r>
      <w:r w:rsidR="0035252B">
        <w:rPr>
          <w:i/>
          <w:sz w:val="28"/>
          <w:szCs w:val="28"/>
          <w:lang w:eastAsia="zh-CN"/>
        </w:rPr>
        <w:t>các cấp đối với phát triển KTTT, HTX</w:t>
      </w:r>
    </w:p>
    <w:p w:rsidR="004517D4" w:rsidRPr="00C61221" w:rsidRDefault="004517D4" w:rsidP="00C61221">
      <w:pPr>
        <w:spacing w:before="60" w:after="60"/>
        <w:ind w:firstLine="720"/>
        <w:contextualSpacing/>
        <w:jc w:val="both"/>
        <w:rPr>
          <w:sz w:val="28"/>
          <w:szCs w:val="28"/>
          <w:lang w:val="sv-SE" w:eastAsia="zh-CN"/>
        </w:rPr>
      </w:pPr>
      <w:r w:rsidRPr="00C61221">
        <w:rPr>
          <w:sz w:val="28"/>
          <w:szCs w:val="28"/>
          <w:lang w:val="sv-SE" w:eastAsia="zh-CN"/>
        </w:rPr>
        <w:t>Hoạt động của Liên minh HTX Tỉnh có mặt chưa đáp ứng yêu cầu thực tiễn đặt ra, do thiếu nguồn lực (nhân lực, vật lực) để thực hiện tốt chức năng, nhiệm vụ được giao.</w:t>
      </w:r>
    </w:p>
    <w:p w:rsidR="004517D4" w:rsidRPr="00C61221" w:rsidRDefault="004517D4" w:rsidP="00C61221">
      <w:pPr>
        <w:spacing w:before="60" w:after="60"/>
        <w:ind w:firstLine="720"/>
        <w:contextualSpacing/>
        <w:jc w:val="both"/>
        <w:rPr>
          <w:b/>
          <w:sz w:val="28"/>
          <w:szCs w:val="28"/>
          <w:lang w:eastAsia="zh-CN"/>
        </w:rPr>
      </w:pPr>
      <w:r w:rsidRPr="00C61221">
        <w:rPr>
          <w:i/>
          <w:sz w:val="28"/>
          <w:szCs w:val="28"/>
          <w:lang w:val="sv-SE" w:eastAsia="zh-CN"/>
        </w:rPr>
        <w:t>Nguyên nhân:</w:t>
      </w:r>
      <w:r w:rsidRPr="00C61221">
        <w:rPr>
          <w:sz w:val="28"/>
          <w:szCs w:val="28"/>
          <w:lang w:val="sv-SE" w:eastAsia="zh-CN"/>
        </w:rPr>
        <w:t xml:space="preserve"> Đội ngũ cán bộ, viên chức thiếu kỹ năng làm công tác tư vấn, hỗ trợ </w:t>
      </w:r>
      <w:r w:rsidRPr="00C61221">
        <w:rPr>
          <w:rFonts w:eastAsia="MS Mincho"/>
          <w:iCs/>
          <w:sz w:val="28"/>
          <w:szCs w:val="28"/>
          <w:lang w:val="zu-ZA" w:eastAsia="zh-CN"/>
        </w:rPr>
        <w:t>do thường xuyên biến động.</w:t>
      </w:r>
    </w:p>
    <w:p w:rsidR="004517D4" w:rsidRPr="00C61221" w:rsidRDefault="004517D4" w:rsidP="00C61221">
      <w:pPr>
        <w:adjustRightInd w:val="0"/>
        <w:snapToGrid w:val="0"/>
        <w:spacing w:before="60" w:after="60"/>
        <w:ind w:firstLine="720"/>
        <w:jc w:val="both"/>
        <w:rPr>
          <w:i/>
          <w:sz w:val="28"/>
          <w:szCs w:val="28"/>
          <w:lang w:eastAsia="zh-CN"/>
        </w:rPr>
      </w:pPr>
      <w:r w:rsidRPr="00C61221">
        <w:rPr>
          <w:bCs/>
          <w:i/>
          <w:sz w:val="28"/>
          <w:szCs w:val="28"/>
          <w:lang w:val="vi-VN" w:eastAsia="zh-CN"/>
        </w:rPr>
        <w:t>2.2. Đối với HTX, thành viên HTX</w:t>
      </w:r>
    </w:p>
    <w:p w:rsidR="004517D4" w:rsidRPr="00C61221" w:rsidRDefault="0035252B" w:rsidP="00C61221">
      <w:pPr>
        <w:spacing w:before="60" w:after="60"/>
        <w:ind w:firstLine="720"/>
        <w:jc w:val="both"/>
        <w:rPr>
          <w:sz w:val="28"/>
          <w:szCs w:val="28"/>
          <w:lang w:val="sv-SE" w:eastAsia="zh-CN"/>
        </w:rPr>
      </w:pPr>
      <w:r>
        <w:rPr>
          <w:sz w:val="28"/>
          <w:szCs w:val="28"/>
          <w:lang w:val="zu-ZA" w:eastAsia="zh-CN"/>
        </w:rPr>
        <w:t xml:space="preserve">- </w:t>
      </w:r>
      <w:r w:rsidR="004517D4" w:rsidRPr="00C61221">
        <w:rPr>
          <w:sz w:val="28"/>
          <w:szCs w:val="28"/>
          <w:lang w:val="zu-ZA" w:eastAsia="zh-CN"/>
        </w:rPr>
        <w:t xml:space="preserve">Năng lực nội tại HTX còn yếu, cơ sở vật chất </w:t>
      </w:r>
      <w:r w:rsidR="004517D4" w:rsidRPr="00C61221">
        <w:rPr>
          <w:sz w:val="28"/>
          <w:szCs w:val="28"/>
          <w:lang w:val="sv-SE" w:eastAsia="zh-CN"/>
        </w:rPr>
        <w:t>còn thiếu,</w:t>
      </w:r>
      <w:r w:rsidR="004517D4" w:rsidRPr="00C61221">
        <w:rPr>
          <w:sz w:val="28"/>
          <w:szCs w:val="28"/>
          <w:lang w:val="zu-ZA" w:eastAsia="zh-CN"/>
        </w:rPr>
        <w:t xml:space="preserve"> lạc hậu; vốn quỹ còn nhỏ so với nhu cầu thực tế; </w:t>
      </w:r>
      <w:r w:rsidR="004517D4" w:rsidRPr="00C61221">
        <w:rPr>
          <w:sz w:val="28"/>
          <w:szCs w:val="28"/>
          <w:lang w:val="sv-SE" w:eastAsia="zh-CN"/>
        </w:rPr>
        <w:t xml:space="preserve">chưa tổ chức được nhiều dịch vụ và lợi ích kinh tế mang lại cho HTX và thành viên. Nợ đọng trong thành viên kéo dài làm HTX không có nguồn vốn hoạt động, mở rộng sản xuất kinh doanh; </w:t>
      </w:r>
    </w:p>
    <w:p w:rsidR="004517D4" w:rsidRPr="00C61221" w:rsidRDefault="0035252B" w:rsidP="00C61221">
      <w:pPr>
        <w:spacing w:before="60" w:after="60"/>
        <w:ind w:firstLine="720"/>
        <w:jc w:val="both"/>
        <w:rPr>
          <w:sz w:val="28"/>
          <w:szCs w:val="28"/>
          <w:lang w:val="sv-SE" w:eastAsia="zh-CN"/>
        </w:rPr>
      </w:pPr>
      <w:r>
        <w:rPr>
          <w:sz w:val="28"/>
          <w:szCs w:val="28"/>
          <w:lang w:val="sv-SE" w:eastAsia="zh-CN"/>
        </w:rPr>
        <w:t xml:space="preserve">- </w:t>
      </w:r>
      <w:r w:rsidR="004517D4" w:rsidRPr="00C61221">
        <w:rPr>
          <w:sz w:val="28"/>
          <w:szCs w:val="28"/>
          <w:lang w:val="sv-SE" w:eastAsia="zh-CN"/>
        </w:rPr>
        <w:t>Các HTX khó tiếp cận các nguồn vốn vay ưu đãi từ các tổ chức tín dụng do không có tài sản thế chấp, chưa có phương án kinh doanh khả thi; báo cáo tài chính chưa minh bạch vì chưa thực hiện đúng chế độ kế toán theo quy định, nên chưa tạo được niềm tin đối với các tổ chức tín dụng.</w:t>
      </w:r>
    </w:p>
    <w:p w:rsidR="004517D4" w:rsidRPr="00C61221" w:rsidRDefault="004517D4" w:rsidP="00C61221">
      <w:pPr>
        <w:spacing w:before="60" w:after="60"/>
        <w:ind w:firstLine="720"/>
        <w:jc w:val="both"/>
        <w:rPr>
          <w:sz w:val="28"/>
          <w:szCs w:val="28"/>
          <w:lang w:val="sv-SE" w:eastAsia="zh-CN"/>
        </w:rPr>
      </w:pPr>
      <w:r w:rsidRPr="00C61221">
        <w:rPr>
          <w:sz w:val="28"/>
          <w:szCs w:val="28"/>
          <w:lang w:val="sv-SE" w:eastAsia="zh-CN"/>
        </w:rPr>
        <w:t xml:space="preserve"> </w:t>
      </w:r>
      <w:r w:rsidR="0035252B">
        <w:rPr>
          <w:sz w:val="28"/>
          <w:szCs w:val="28"/>
          <w:lang w:val="sv-SE" w:eastAsia="zh-CN"/>
        </w:rPr>
        <w:t xml:space="preserve">- </w:t>
      </w:r>
      <w:r w:rsidRPr="00C61221">
        <w:rPr>
          <w:sz w:val="28"/>
          <w:szCs w:val="28"/>
          <w:lang w:val="sv-SE" w:eastAsia="zh-CN"/>
        </w:rPr>
        <w:t xml:space="preserve">Quá trình thực hiện liên kết sản xuất và tiêu thụ theo chuỗi giá trị, nhất là tiêu thụ nông sản an toàn vẫn còn nhiều khó khăn. Diện tích thực hiện liên kết còn thấp. Hợp đồng liên kết tiêu thụ chưa chặt chẽ, thiếu tính ràng buộc và tính pháp lý chưa cao dẫn đến dễ bị phá vỡ và chưa có biện pháp chế tài, cơ chế quản lý, xử lý hiệu quả. </w:t>
      </w:r>
    </w:p>
    <w:p w:rsidR="004517D4" w:rsidRPr="00C61221" w:rsidRDefault="0035252B" w:rsidP="00C61221">
      <w:pPr>
        <w:spacing w:before="60" w:after="60"/>
        <w:ind w:firstLine="720"/>
        <w:jc w:val="both"/>
        <w:rPr>
          <w:sz w:val="28"/>
          <w:szCs w:val="28"/>
          <w:lang w:val="sv-SE" w:eastAsia="zh-CN"/>
        </w:rPr>
      </w:pPr>
      <w:r>
        <w:rPr>
          <w:sz w:val="28"/>
          <w:szCs w:val="28"/>
          <w:lang w:val="sv-SE" w:eastAsia="zh-CN"/>
        </w:rPr>
        <w:t xml:space="preserve">- </w:t>
      </w:r>
      <w:r w:rsidR="004517D4" w:rsidRPr="00C61221">
        <w:rPr>
          <w:sz w:val="28"/>
          <w:szCs w:val="28"/>
          <w:lang w:val="sv-SE" w:eastAsia="zh-CN"/>
        </w:rPr>
        <w:t>Cán bộ HTX chưa có kinh nghiệm trong điều hành sản xuất theo kế hoạch, hợp đồng đã ký; thiếu kỹ năng đàm phán trong ký kết hợp đồng. Hình thức liên kết, chính sách đầu tư của một số doanh nghiệp chưa thực sự phù hợp, hấp dẫn và chưa tạo được sự đồng thuận cao từ người sản xuất. Khi gặp khó khăn thiếu sự chia sẻ thông tin, chia sẻ lợi ích của hai bên; giữa nông dân, HTX và doanh nghiệp chưa thực sự tin tưởng lẫn nhau; chưa nhìn thấy lợi ích lâu dài trong hợp tác.</w:t>
      </w:r>
    </w:p>
    <w:p w:rsidR="004517D4" w:rsidRPr="00C61221" w:rsidRDefault="0035252B" w:rsidP="00C61221">
      <w:pPr>
        <w:spacing w:before="60" w:after="60"/>
        <w:ind w:firstLine="720"/>
        <w:jc w:val="both"/>
        <w:rPr>
          <w:sz w:val="28"/>
          <w:szCs w:val="28"/>
          <w:lang w:val="sv-SE" w:eastAsia="zh-CN"/>
        </w:rPr>
      </w:pPr>
      <w:r>
        <w:rPr>
          <w:sz w:val="28"/>
          <w:szCs w:val="28"/>
          <w:lang w:val="sv-SE" w:eastAsia="zh-CN"/>
        </w:rPr>
        <w:t xml:space="preserve">- </w:t>
      </w:r>
      <w:r w:rsidR="004517D4" w:rsidRPr="00C61221">
        <w:rPr>
          <w:sz w:val="28"/>
          <w:szCs w:val="28"/>
          <w:lang w:val="sv-SE" w:eastAsia="zh-CN"/>
        </w:rPr>
        <w:t xml:space="preserve">Trình độ, năng lực quản lý của đội ngũ cán bộ HTX còn hạn chế, chưa được đào tạo bài bản, đa phần lớn tuổi làm việc chủ yếu bằng lòng nhiệt tình, tâm huyết và kinh nghiệm nên chưa mạnh dạn mở rộng sản xuất kinh doanh, chưa thu hút thành viên tham gia. </w:t>
      </w:r>
    </w:p>
    <w:p w:rsidR="004517D4" w:rsidRPr="00C61221" w:rsidRDefault="0035252B" w:rsidP="00C61221">
      <w:pPr>
        <w:spacing w:before="60" w:after="60"/>
        <w:ind w:firstLine="720"/>
        <w:jc w:val="both"/>
        <w:rPr>
          <w:sz w:val="28"/>
          <w:szCs w:val="28"/>
          <w:lang w:val="zu-ZA" w:eastAsia="zh-CN"/>
        </w:rPr>
      </w:pPr>
      <w:r>
        <w:rPr>
          <w:sz w:val="28"/>
          <w:szCs w:val="28"/>
          <w:lang w:val="zu-ZA" w:eastAsia="zh-CN"/>
        </w:rPr>
        <w:t xml:space="preserve">- </w:t>
      </w:r>
      <w:r w:rsidR="004517D4" w:rsidRPr="00C61221">
        <w:rPr>
          <w:sz w:val="28"/>
          <w:szCs w:val="28"/>
          <w:lang w:val="zu-ZA" w:eastAsia="zh-CN"/>
        </w:rPr>
        <w:t>Chế độ chính sách chưa thu hút cán bộ, tri thức trẻ có năng lực, tâm huyết, trình độ tham gia vào HTX, cán bộ quản lý HTX chưa an tâm công tác; nhận thức của một bộ phận cán bộ về đường lối quan điểm KTHT, về bản chất mô hình HTX kiểu mới chưa đầy đủ.</w:t>
      </w:r>
    </w:p>
    <w:p w:rsidR="004517D4" w:rsidRPr="00C61221" w:rsidRDefault="004517D4" w:rsidP="00C61221">
      <w:pPr>
        <w:adjustRightInd w:val="0"/>
        <w:snapToGrid w:val="0"/>
        <w:spacing w:before="60" w:after="60"/>
        <w:ind w:firstLine="720"/>
        <w:jc w:val="both"/>
        <w:rPr>
          <w:sz w:val="28"/>
          <w:szCs w:val="28"/>
          <w:lang w:val="vi-VN" w:eastAsia="zh-CN"/>
        </w:rPr>
      </w:pPr>
      <w:r w:rsidRPr="00C61221">
        <w:rPr>
          <w:b/>
          <w:bCs/>
          <w:sz w:val="28"/>
          <w:szCs w:val="28"/>
          <w:lang w:val="vi-VN" w:eastAsia="zh-CN"/>
        </w:rPr>
        <w:t>3. Bài học kinh nghiệm</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Thường xuyên nâng cao nhận thức về phát triển KTTT. Đẩy mạnh công tác tuyên truyền về KTTT làm cho cán bộ, đảng viên, người dân, các tầng lớp xã hội hiểu biết đầy đủ hơn vai trò, vị trí của KTTT; bản chất, các nguyên tắc và giá trị của HTX; hiểu rõ về mô hình HTX kiểu mới, tạo được môi trường tâm lý thuận lợi cho sự phát triển KTTT.</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Chú trọng củng cố và nâng cao chất lượng quản lý nhà nước về KTTT, phải có bộ máy quản lý nhà nước về KTTT đủ mạnh.</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xml:space="preserve">- Các HTX phải nỗ lực vươn lên từ nội lực của chính mình, có định hướng hoạt động cụ thể và phù hợp, không trông chờ, ỷ lại. Mọi hoạt động phải mang lại lợi ích cho thành viên. Quan tâm đào tạo nguồn nhân lực là nhân tố có ý nghĩa quan trọng, nhằm xây dựng đội ngũ cán bộ chủ chốt HTX có năng lực </w:t>
      </w:r>
      <w:r w:rsidR="0035252B">
        <w:rPr>
          <w:sz w:val="28"/>
          <w:szCs w:val="28"/>
          <w:lang w:val="sv-SE" w:eastAsia="zh-CN"/>
        </w:rPr>
        <w:t>-</w:t>
      </w:r>
      <w:r w:rsidRPr="00C61221">
        <w:rPr>
          <w:sz w:val="28"/>
          <w:szCs w:val="28"/>
          <w:lang w:val="sv-SE" w:eastAsia="zh-CN"/>
        </w:rPr>
        <w:t xml:space="preserve"> trình độ, tâm huyết và gắn bó với sự phát triển của HTX.</w:t>
      </w:r>
    </w:p>
    <w:p w:rsidR="004517D4" w:rsidRPr="00C61221" w:rsidRDefault="004517D4" w:rsidP="00C61221">
      <w:pPr>
        <w:spacing w:before="60" w:after="60"/>
        <w:ind w:right="51" w:firstLine="720"/>
        <w:jc w:val="both"/>
        <w:rPr>
          <w:sz w:val="28"/>
          <w:szCs w:val="28"/>
          <w:lang w:val="af-ZA" w:eastAsia="zh-CN"/>
        </w:rPr>
      </w:pPr>
      <w:r w:rsidRPr="00C61221">
        <w:rPr>
          <w:sz w:val="28"/>
          <w:szCs w:val="28"/>
          <w:lang w:val="sv-SE" w:eastAsia="zh-CN"/>
        </w:rPr>
        <w:t>- Không đặt nặng chỉ tiêu về số lượng mà cần đặt biệt quan tâm về chất lượng nội tại bên trong của HTX; HTX phải được thành lập trên cơ sở tự nguyện, số đông đồng thuận, vốn góp phù hợp tạo điều kiện cho nhiều người được tham gia. B</w:t>
      </w:r>
      <w:r w:rsidRPr="00C61221">
        <w:rPr>
          <w:sz w:val="28"/>
          <w:szCs w:val="28"/>
          <w:lang w:val="af-ZA" w:eastAsia="zh-CN"/>
        </w:rPr>
        <w:t>ên cạnh đó, trong quá trình thực hiện chính sách đầu tư, phải có sự tập trung không dàn trải</w:t>
      </w:r>
      <w:r w:rsidR="0035252B">
        <w:rPr>
          <w:sz w:val="28"/>
          <w:szCs w:val="28"/>
          <w:lang w:val="af-ZA" w:eastAsia="zh-CN"/>
        </w:rPr>
        <w:t>.</w:t>
      </w:r>
    </w:p>
    <w:p w:rsidR="004517D4" w:rsidRPr="00C61221" w:rsidRDefault="004517D4" w:rsidP="00C61221">
      <w:pPr>
        <w:spacing w:before="60" w:after="60"/>
        <w:ind w:right="51" w:firstLine="720"/>
        <w:jc w:val="both"/>
        <w:rPr>
          <w:sz w:val="28"/>
          <w:szCs w:val="28"/>
          <w:lang w:val="vi-VN" w:eastAsia="zh-CN"/>
        </w:rPr>
      </w:pPr>
      <w:r w:rsidRPr="00C61221">
        <w:rPr>
          <w:b/>
          <w:bCs/>
          <w:sz w:val="28"/>
          <w:szCs w:val="28"/>
          <w:lang w:val="vi-VN" w:eastAsia="zh-CN"/>
        </w:rPr>
        <w:t>4. Giải pháp</w:t>
      </w:r>
    </w:p>
    <w:p w:rsidR="004517D4" w:rsidRPr="00C61221" w:rsidRDefault="004517D4" w:rsidP="00C61221">
      <w:pPr>
        <w:spacing w:before="60" w:after="60"/>
        <w:ind w:right="51" w:firstLine="720"/>
        <w:jc w:val="both"/>
        <w:rPr>
          <w:i/>
          <w:sz w:val="28"/>
          <w:szCs w:val="28"/>
          <w:lang w:eastAsia="zh-CN"/>
        </w:rPr>
      </w:pPr>
      <w:r w:rsidRPr="00C61221">
        <w:rPr>
          <w:i/>
          <w:sz w:val="28"/>
          <w:szCs w:val="28"/>
          <w:lang w:eastAsia="zh-CN"/>
        </w:rPr>
        <w:t>4.1. Về cơ chế, chính sách</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Đơn giản hơn các thủ tục hành chính trong đăng ký thành lập, giải thể HTX; trong chế độ báo cáo định kỳ.</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Có cơ chế khuyến khích thành lập doanh nghiệp trong HTX, cho phép mở rộng quy mô cũng như việc tiếp nhận/ cung ứng linh hoạt dịch vụ ngoài thành viên trong khuôn khổ quy định cụ thể.</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Xây dựng phần mềm quản lý cơ sở dữ liệu về kinh tế tập thể, hợp tác xã tại các địa phương, nhằm đáp ứng ngày càng cao yêu cầu kịp thời, hiệu quả trong công tác công tác quản lý nhà nước về KTTT.</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w:t>
      </w:r>
      <w:r w:rsidRPr="0035252B">
        <w:rPr>
          <w:spacing w:val="-4"/>
          <w:sz w:val="28"/>
          <w:szCs w:val="28"/>
          <w:lang w:eastAsia="zh-CN"/>
        </w:rPr>
        <w:t>Chú trọng đào tạo, bồi dưỡng đội ngũ làm công tác quản lý nhà nước về KTTT tại tỉnh và địa phương. Quy định rõ chức năng, nhiệm vụ, quyền hạn của các cơ quan liên quan trong thực hiện nhiệm vụ phát triển KTTT trên địa bàn Tỉnh.</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Cần tăng cường hơn nữa việc nâng cao nhận thức về KTTT, HTX cho toàn bộ hệ thống chính trị về bản chất, vị trí, vai trò của KTTT mà nồng cốt là HTX trong phát triển </w:t>
      </w:r>
      <w:r w:rsidR="0035252B">
        <w:rPr>
          <w:sz w:val="28"/>
          <w:szCs w:val="28"/>
          <w:lang w:eastAsia="zh-CN"/>
        </w:rPr>
        <w:t>kinh tế - xã hội</w:t>
      </w:r>
      <w:r w:rsidRPr="00C61221">
        <w:rPr>
          <w:sz w:val="28"/>
          <w:szCs w:val="28"/>
          <w:lang w:eastAsia="zh-CN"/>
        </w:rPr>
        <w:t>. Chú trọng nâng cao vai trò của người dân và cộng đồng -</w:t>
      </w:r>
      <w:r w:rsidR="0035252B">
        <w:rPr>
          <w:sz w:val="28"/>
          <w:szCs w:val="28"/>
          <w:lang w:eastAsia="zh-CN"/>
        </w:rPr>
        <w:t xml:space="preserve"> </w:t>
      </w:r>
      <w:r w:rsidRPr="00C61221">
        <w:rPr>
          <w:sz w:val="28"/>
          <w:szCs w:val="28"/>
          <w:lang w:eastAsia="zh-CN"/>
        </w:rPr>
        <w:t xml:space="preserve">là chủ thể trong mục tiêu phát triển. Đúc kết thực tiễn từ hiệu quả các mô hình tiên tiến để phát triển, nhân rộng trong </w:t>
      </w:r>
      <w:r w:rsidR="0035252B">
        <w:rPr>
          <w:sz w:val="28"/>
          <w:szCs w:val="28"/>
          <w:lang w:eastAsia="zh-CN"/>
        </w:rPr>
        <w:t>T</w:t>
      </w:r>
      <w:r w:rsidRPr="00C61221">
        <w:rPr>
          <w:sz w:val="28"/>
          <w:szCs w:val="28"/>
          <w:lang w:eastAsia="zh-CN"/>
        </w:rPr>
        <w:t>ỉnh.</w:t>
      </w:r>
    </w:p>
    <w:p w:rsidR="004517D4" w:rsidRPr="00C61221" w:rsidRDefault="004517D4" w:rsidP="00C61221">
      <w:pPr>
        <w:spacing w:before="60" w:after="60"/>
        <w:ind w:right="51" w:firstLine="720"/>
        <w:jc w:val="both"/>
        <w:rPr>
          <w:sz w:val="28"/>
          <w:szCs w:val="28"/>
          <w:lang w:eastAsia="zh-CN"/>
        </w:rPr>
      </w:pPr>
      <w:r w:rsidRPr="00C61221">
        <w:rPr>
          <w:i/>
          <w:sz w:val="28"/>
          <w:szCs w:val="28"/>
          <w:lang w:eastAsia="zh-CN"/>
        </w:rPr>
        <w:t>4.2. Về vốn, thị trường, lao động</w:t>
      </w:r>
      <w:r w:rsidRPr="00C61221">
        <w:rPr>
          <w:i/>
          <w:sz w:val="28"/>
          <w:szCs w:val="28"/>
          <w:vertAlign w:val="superscript"/>
          <w:lang w:eastAsia="zh-CN"/>
        </w:rPr>
        <w:t>(</w:t>
      </w:r>
      <w:r w:rsidRPr="00C61221">
        <w:rPr>
          <w:sz w:val="28"/>
          <w:szCs w:val="28"/>
          <w:vertAlign w:val="superscript"/>
          <w:lang w:eastAsia="zh-CN"/>
        </w:rPr>
        <w:footnoteReference w:id="31"/>
      </w:r>
      <w:r w:rsidRPr="00C61221">
        <w:rPr>
          <w:i/>
          <w:sz w:val="28"/>
          <w:szCs w:val="28"/>
          <w:vertAlign w:val="superscript"/>
          <w:lang w:eastAsia="zh-CN"/>
        </w:rPr>
        <w:t>)</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w:t>
      </w:r>
      <w:r w:rsidRPr="0035252B">
        <w:rPr>
          <w:spacing w:val="-2"/>
          <w:sz w:val="28"/>
          <w:szCs w:val="28"/>
          <w:lang w:eastAsia="zh-CN"/>
        </w:rPr>
        <w:t>Đổi mới, nâng cao hiệu quả hoạt động của tổ chức KTTT, HTX, tăng cường lợi ích của thành viên, thu hút thành viên tham gia, góp vốn. Tạo điều kiện cho tổ chức KTTT, HTX tiếp cận hiệu quả các nguồn lực hỗ trợ phát triển sản xuất kinh doanh, mở rộng quy mô hoạt động, nâng cao năng lực cán bộ quản lý (Quỹ Hỗ trợ phát triển hợp tác xã, vay từ các tổ chức tín dụng...). Ưu tiên bố trí và phát huy hiệu quả ngân sách nhà nước hỗ trợ phát triển KTTT, HTX.</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Đánh giá, tổng kết các mô hình KTTT, HTX hiệu quả để xây dựng kế hoạch nhân rộng trong Tỉnh. Sản xuất theo chuỗi giá trị, gắn với Chương trình OCOP; sản xuất, tiêu thụ gắn với truy xuất nguồn gốc, mã vùng trồng; ứng dụng </w:t>
      </w:r>
      <w:r w:rsidR="00A95DA9">
        <w:rPr>
          <w:sz w:val="28"/>
          <w:szCs w:val="28"/>
          <w:lang w:eastAsia="zh-CN"/>
        </w:rPr>
        <w:t>KHCN</w:t>
      </w:r>
      <w:r w:rsidRPr="00C61221">
        <w:rPr>
          <w:sz w:val="28"/>
          <w:szCs w:val="28"/>
          <w:lang w:eastAsia="zh-CN"/>
        </w:rPr>
        <w:t xml:space="preserve"> vào chế biến sản phẩm, nâng cao chất lượng và giá trị sản phẩm. Tăng cường xúc tiến thương mại, giữ vững thị trường truyền thống, tìm kiếm các thị trường mới; đa dạng các kênh phân phối...</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Hỗ trợ đào tạo, bồi dưỡng nâng cao năng lực tổ chức và hoạt động của KTTT, HTX; ứng dụng công nghệ vào công tác quản lý. Thu hút nhân lực chất lượng cao về làm việc tại các HTX.</w:t>
      </w:r>
    </w:p>
    <w:p w:rsidR="004517D4" w:rsidRPr="00C61221" w:rsidRDefault="004517D4" w:rsidP="00C61221">
      <w:pPr>
        <w:spacing w:before="60" w:after="60"/>
        <w:ind w:right="51" w:firstLine="720"/>
        <w:jc w:val="both"/>
        <w:rPr>
          <w:b/>
          <w:sz w:val="28"/>
          <w:szCs w:val="28"/>
          <w:lang w:eastAsia="zh-CN"/>
        </w:rPr>
      </w:pPr>
      <w:r w:rsidRPr="00C61221">
        <w:rPr>
          <w:b/>
          <w:sz w:val="28"/>
          <w:szCs w:val="28"/>
          <w:lang w:eastAsia="zh-CN"/>
        </w:rPr>
        <w:t>4.3. Về cơ chế hoạt động</w:t>
      </w:r>
    </w:p>
    <w:p w:rsidR="004517D4" w:rsidRPr="00A95DA9" w:rsidRDefault="004517D4" w:rsidP="00C61221">
      <w:pPr>
        <w:spacing w:before="60" w:after="60"/>
        <w:ind w:right="51" w:firstLine="720"/>
        <w:jc w:val="both"/>
        <w:rPr>
          <w:spacing w:val="-2"/>
          <w:sz w:val="28"/>
          <w:szCs w:val="28"/>
          <w:lang w:eastAsia="zh-CN"/>
        </w:rPr>
      </w:pPr>
      <w:r w:rsidRPr="00C61221">
        <w:rPr>
          <w:sz w:val="28"/>
          <w:szCs w:val="28"/>
          <w:lang w:eastAsia="zh-CN"/>
        </w:rPr>
        <w:t xml:space="preserve">- </w:t>
      </w:r>
      <w:r w:rsidRPr="00A95DA9">
        <w:rPr>
          <w:spacing w:val="-2"/>
          <w:sz w:val="28"/>
          <w:szCs w:val="28"/>
          <w:lang w:eastAsia="zh-CN"/>
        </w:rPr>
        <w:t xml:space="preserve">Vai trò của Liên minh </w:t>
      </w:r>
      <w:r w:rsidR="00A95DA9" w:rsidRPr="00A95DA9">
        <w:rPr>
          <w:spacing w:val="-2"/>
          <w:sz w:val="28"/>
          <w:szCs w:val="28"/>
          <w:lang w:eastAsia="zh-CN"/>
        </w:rPr>
        <w:t xml:space="preserve">HTX </w:t>
      </w:r>
      <w:r w:rsidRPr="00A95DA9">
        <w:rPr>
          <w:spacing w:val="-2"/>
          <w:sz w:val="28"/>
          <w:szCs w:val="28"/>
          <w:lang w:eastAsia="zh-CN"/>
        </w:rPr>
        <w:t xml:space="preserve">Tỉnh cần được tăng cường, phát huy hiệu quả hoạt động hơn nữa trong vai trò đại diện hỗ trợ sản xuất kinh doanh của HTX. Liên minh </w:t>
      </w:r>
      <w:r w:rsidR="00A95DA9" w:rsidRPr="00A95DA9">
        <w:rPr>
          <w:spacing w:val="-2"/>
          <w:sz w:val="28"/>
          <w:szCs w:val="28"/>
          <w:lang w:eastAsia="zh-CN"/>
        </w:rPr>
        <w:t>HTX Tỉnh</w:t>
      </w:r>
      <w:r w:rsidRPr="00A95DA9">
        <w:rPr>
          <w:spacing w:val="-2"/>
          <w:sz w:val="28"/>
          <w:szCs w:val="28"/>
          <w:lang w:eastAsia="zh-CN"/>
        </w:rPr>
        <w:t xml:space="preserve"> cần được tạo điều kiện tham gia các dịch vụ công Nhà nước giao, </w:t>
      </w:r>
      <w:r w:rsidR="00015662" w:rsidRPr="00A95DA9">
        <w:rPr>
          <w:spacing w:val="-2"/>
          <w:sz w:val="28"/>
          <w:szCs w:val="28"/>
          <w:lang w:eastAsia="zh-CN"/>
        </w:rPr>
        <w:t>uỷ</w:t>
      </w:r>
      <w:r w:rsidRPr="00A95DA9">
        <w:rPr>
          <w:spacing w:val="-2"/>
          <w:sz w:val="28"/>
          <w:szCs w:val="28"/>
          <w:lang w:eastAsia="zh-CN"/>
        </w:rPr>
        <w:t xml:space="preserve"> thác như: kiểm toán, đào tạo, tín dụng, xúc tiến thương mại,...</w:t>
      </w:r>
    </w:p>
    <w:p w:rsidR="004517D4" w:rsidRPr="00A95DA9" w:rsidRDefault="004517D4" w:rsidP="00C61221">
      <w:pPr>
        <w:spacing w:before="60" w:after="60"/>
        <w:ind w:right="51" w:firstLine="720"/>
        <w:jc w:val="both"/>
        <w:rPr>
          <w:sz w:val="28"/>
          <w:szCs w:val="28"/>
          <w:lang w:eastAsia="zh-CN"/>
        </w:rPr>
      </w:pPr>
      <w:r w:rsidRPr="00C61221">
        <w:rPr>
          <w:sz w:val="28"/>
          <w:szCs w:val="28"/>
          <w:lang w:eastAsia="zh-CN"/>
        </w:rPr>
        <w:t>- Cần có sự phối hợp chặt chẽ, hiệu quả giữa các cơ quan, tổ chức, Mặt trận Tổ quốc</w:t>
      </w:r>
      <w:r w:rsidR="00A95DA9">
        <w:rPr>
          <w:sz w:val="28"/>
          <w:szCs w:val="28"/>
          <w:lang w:eastAsia="zh-CN"/>
        </w:rPr>
        <w:t xml:space="preserve"> Việt Nam</w:t>
      </w:r>
      <w:r w:rsidRPr="00C61221">
        <w:rPr>
          <w:sz w:val="28"/>
          <w:szCs w:val="28"/>
          <w:lang w:eastAsia="zh-CN"/>
        </w:rPr>
        <w:t xml:space="preserve">, các tổ chức </w:t>
      </w:r>
      <w:r w:rsidR="00A95DA9">
        <w:rPr>
          <w:sz w:val="28"/>
          <w:szCs w:val="28"/>
          <w:lang w:eastAsia="zh-CN"/>
        </w:rPr>
        <w:t>chính trị - xã hội các cấp</w:t>
      </w:r>
      <w:r w:rsidRPr="00C61221">
        <w:rPr>
          <w:sz w:val="28"/>
          <w:szCs w:val="28"/>
          <w:lang w:eastAsia="zh-CN"/>
        </w:rPr>
        <w:t xml:space="preserve"> trong công tác triển khai nhiệm vụ phát triển kinh tế KTTT, HTX trong toàn Tỉnh</w:t>
      </w:r>
      <w:r w:rsidRPr="00C61221">
        <w:rPr>
          <w:sz w:val="28"/>
          <w:szCs w:val="28"/>
          <w:vertAlign w:val="superscript"/>
          <w:lang w:eastAsia="zh-CN"/>
        </w:rPr>
        <w:t>(</w:t>
      </w:r>
      <w:r w:rsidRPr="00C61221">
        <w:rPr>
          <w:sz w:val="28"/>
          <w:szCs w:val="28"/>
          <w:vertAlign w:val="superscript"/>
          <w:lang w:eastAsia="zh-CN"/>
        </w:rPr>
        <w:footnoteReference w:id="32"/>
      </w:r>
      <w:r w:rsidRPr="00C61221">
        <w:rPr>
          <w:sz w:val="28"/>
          <w:szCs w:val="28"/>
          <w:vertAlign w:val="superscript"/>
          <w:lang w:eastAsia="zh-CN"/>
        </w:rPr>
        <w:t>)</w:t>
      </w:r>
      <w:r w:rsidR="00A95DA9">
        <w:rPr>
          <w:sz w:val="28"/>
          <w:szCs w:val="28"/>
          <w:lang w:eastAsia="zh-CN"/>
        </w:rPr>
        <w:t>.</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Tăng cường hợp tác quốc tế về phát triển KTTT, HTX; tận dụng mọi nguồn lực: về huy động vốn hợp pháp, về kinh nghiệm, về kỹ thuật tiên tiến, về nâng cao chấ</w:t>
      </w:r>
      <w:r w:rsidR="00A95DA9">
        <w:rPr>
          <w:sz w:val="28"/>
          <w:szCs w:val="28"/>
          <w:lang w:eastAsia="zh-CN"/>
        </w:rPr>
        <w:t xml:space="preserve">t lượng nguồn nhân lực HTX,... </w:t>
      </w:r>
      <w:r w:rsidRPr="00C61221">
        <w:rPr>
          <w:sz w:val="28"/>
          <w:szCs w:val="28"/>
          <w:lang w:eastAsia="zh-CN"/>
        </w:rPr>
        <w:t>để phát triển KTTT, HTX.</w:t>
      </w:r>
    </w:p>
    <w:p w:rsidR="004517D4" w:rsidRPr="00C61221" w:rsidRDefault="004517D4" w:rsidP="00A95DA9">
      <w:pPr>
        <w:spacing w:before="60" w:after="60"/>
        <w:ind w:right="51"/>
        <w:jc w:val="both"/>
        <w:rPr>
          <w:b/>
          <w:bCs/>
          <w:sz w:val="28"/>
          <w:szCs w:val="28"/>
          <w:lang w:eastAsia="zh-CN"/>
        </w:rPr>
      </w:pPr>
    </w:p>
    <w:p w:rsidR="004517D4" w:rsidRPr="00C61221" w:rsidRDefault="004517D4" w:rsidP="00A95DA9">
      <w:pPr>
        <w:ind w:right="51"/>
        <w:jc w:val="center"/>
        <w:rPr>
          <w:sz w:val="28"/>
          <w:szCs w:val="28"/>
          <w:lang w:val="vi-VN" w:eastAsia="zh-CN"/>
        </w:rPr>
      </w:pPr>
      <w:r w:rsidRPr="00C61221">
        <w:rPr>
          <w:b/>
          <w:bCs/>
          <w:sz w:val="28"/>
          <w:szCs w:val="28"/>
          <w:lang w:val="vi-VN" w:eastAsia="zh-CN"/>
        </w:rPr>
        <w:t>Phần II</w:t>
      </w:r>
    </w:p>
    <w:p w:rsidR="00A95DA9" w:rsidRDefault="004517D4" w:rsidP="00A95DA9">
      <w:pPr>
        <w:ind w:right="51"/>
        <w:jc w:val="center"/>
        <w:rPr>
          <w:b/>
          <w:bCs/>
          <w:sz w:val="28"/>
          <w:szCs w:val="28"/>
          <w:lang w:val="vi-VN" w:eastAsia="zh-CN"/>
        </w:rPr>
      </w:pPr>
      <w:r w:rsidRPr="00C61221">
        <w:rPr>
          <w:b/>
          <w:bCs/>
          <w:sz w:val="28"/>
          <w:szCs w:val="28"/>
          <w:lang w:val="vi-VN" w:eastAsia="zh-CN"/>
        </w:rPr>
        <w:t xml:space="preserve">KIẾN NGHỊ SỬA ĐỔI, BỔ SUNG </w:t>
      </w:r>
    </w:p>
    <w:p w:rsidR="004517D4" w:rsidRPr="00A95DA9" w:rsidRDefault="004517D4" w:rsidP="00A95DA9">
      <w:pPr>
        <w:ind w:right="51"/>
        <w:jc w:val="center"/>
        <w:rPr>
          <w:b/>
          <w:bCs/>
          <w:sz w:val="28"/>
          <w:szCs w:val="28"/>
          <w:lang w:eastAsia="zh-CN"/>
        </w:rPr>
      </w:pPr>
      <w:r w:rsidRPr="00C61221">
        <w:rPr>
          <w:b/>
          <w:bCs/>
          <w:sz w:val="28"/>
          <w:szCs w:val="28"/>
          <w:lang w:val="vi-VN" w:eastAsia="zh-CN"/>
        </w:rPr>
        <w:t xml:space="preserve">CÁC QUY ĐỊNH PHÁP LUẬT VỀ </w:t>
      </w:r>
      <w:r w:rsidR="00A95DA9">
        <w:rPr>
          <w:b/>
          <w:bCs/>
          <w:sz w:val="28"/>
          <w:szCs w:val="28"/>
          <w:lang w:eastAsia="zh-CN"/>
        </w:rPr>
        <w:t>HTX</w:t>
      </w:r>
    </w:p>
    <w:p w:rsidR="004517D4" w:rsidRPr="00C61221" w:rsidRDefault="004517D4" w:rsidP="00C61221">
      <w:pPr>
        <w:spacing w:before="60" w:after="60"/>
        <w:ind w:right="51" w:firstLine="720"/>
        <w:jc w:val="both"/>
        <w:rPr>
          <w:sz w:val="28"/>
          <w:szCs w:val="28"/>
          <w:lang w:val="vi-VN" w:eastAsia="zh-CN"/>
        </w:rPr>
      </w:pPr>
    </w:p>
    <w:p w:rsidR="004517D4" w:rsidRPr="00C61221" w:rsidRDefault="004517D4" w:rsidP="00C61221">
      <w:pPr>
        <w:spacing w:before="60" w:after="60"/>
        <w:ind w:right="51" w:firstLine="720"/>
        <w:jc w:val="both"/>
        <w:rPr>
          <w:sz w:val="28"/>
          <w:szCs w:val="28"/>
          <w:lang w:val="vi-VN" w:eastAsia="zh-CN"/>
        </w:rPr>
      </w:pPr>
      <w:r w:rsidRPr="00C61221">
        <w:rPr>
          <w:b/>
          <w:bCs/>
          <w:sz w:val="28"/>
          <w:szCs w:val="28"/>
          <w:lang w:val="vi-VN" w:eastAsia="zh-CN"/>
        </w:rPr>
        <w:t xml:space="preserve">I. SỰ CẦN THIẾT VÀ QUAN ĐIỂM, ĐỊNH HƯỚNG SỬA ĐỔI, BỔ SUNG LUẬT </w:t>
      </w:r>
      <w:r w:rsidR="00A95DA9">
        <w:rPr>
          <w:b/>
          <w:bCs/>
          <w:sz w:val="28"/>
          <w:szCs w:val="28"/>
          <w:lang w:eastAsia="zh-CN"/>
        </w:rPr>
        <w:t>HTX</w:t>
      </w:r>
      <w:r w:rsidRPr="00C61221">
        <w:rPr>
          <w:b/>
          <w:bCs/>
          <w:sz w:val="28"/>
          <w:szCs w:val="28"/>
          <w:lang w:val="vi-VN" w:eastAsia="zh-CN"/>
        </w:rPr>
        <w:t xml:space="preserve"> NĂM 2012</w:t>
      </w:r>
    </w:p>
    <w:p w:rsidR="004517D4" w:rsidRPr="00C61221" w:rsidRDefault="004517D4" w:rsidP="00C61221">
      <w:pPr>
        <w:spacing w:before="60" w:after="60"/>
        <w:ind w:right="51" w:firstLine="720"/>
        <w:jc w:val="both"/>
        <w:rPr>
          <w:sz w:val="28"/>
          <w:szCs w:val="28"/>
          <w:lang w:val="vi-VN" w:eastAsia="zh-CN"/>
        </w:rPr>
      </w:pPr>
      <w:r w:rsidRPr="00C61221">
        <w:rPr>
          <w:b/>
          <w:bCs/>
          <w:sz w:val="28"/>
          <w:szCs w:val="28"/>
          <w:lang w:val="vi-VN" w:eastAsia="zh-CN"/>
        </w:rPr>
        <w:t>1. Sự cần thiết sửa đổi bổ sung Luật HTX</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xml:space="preserve">- Quá trình hội nhập quốc tế mạnh mẽ của đất nước, sự phát triển nhanh của khoa học công nghệ đặc biệt là </w:t>
      </w:r>
      <w:r w:rsidR="00A95DA9">
        <w:rPr>
          <w:sz w:val="28"/>
          <w:szCs w:val="28"/>
          <w:lang w:val="sv-SE" w:eastAsia="zh-CN"/>
        </w:rPr>
        <w:t>C</w:t>
      </w:r>
      <w:r w:rsidRPr="00C61221">
        <w:rPr>
          <w:sz w:val="28"/>
          <w:szCs w:val="28"/>
          <w:lang w:val="sv-SE" w:eastAsia="zh-CN"/>
        </w:rPr>
        <w:t xml:space="preserve">uộc </w:t>
      </w:r>
      <w:r w:rsidR="00A95DA9">
        <w:rPr>
          <w:sz w:val="28"/>
          <w:szCs w:val="28"/>
          <w:lang w:val="sv-SE" w:eastAsia="zh-CN"/>
        </w:rPr>
        <w:t>C</w:t>
      </w:r>
      <w:r w:rsidRPr="00C61221">
        <w:rPr>
          <w:sz w:val="28"/>
          <w:szCs w:val="28"/>
          <w:lang w:val="sv-SE" w:eastAsia="zh-CN"/>
        </w:rPr>
        <w:t>ách mạng công nghiệp 4.0 nên việc sửa đổi bổ sung Luật HTX 2012 là cần thiết để phù hợp với thực tiễn.</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Khu vực KTTT, HTX còn nhiều hạn chế mà nguyên nhân của một số hạn chế là việc thực thi pháp luật về HTX vẫn chưa thực sự đi vào cuộc sống, có nhiều chính sách, ưu đãi, hỗ trợ cho các HTX nhưng thực tế các chính sách này đi vào thực tiễn chưa nhiều.</w:t>
      </w:r>
    </w:p>
    <w:p w:rsidR="004517D4" w:rsidRPr="00C61221" w:rsidRDefault="004517D4" w:rsidP="00C61221">
      <w:pPr>
        <w:spacing w:before="60" w:after="60"/>
        <w:ind w:right="51" w:firstLine="720"/>
        <w:jc w:val="both"/>
        <w:rPr>
          <w:sz w:val="28"/>
          <w:szCs w:val="28"/>
          <w:lang w:val="sv-SE" w:eastAsia="zh-CN"/>
        </w:rPr>
      </w:pPr>
      <w:r w:rsidRPr="00C61221">
        <w:rPr>
          <w:sz w:val="28"/>
          <w:szCs w:val="28"/>
          <w:lang w:val="sv-SE" w:eastAsia="zh-CN"/>
        </w:rPr>
        <w:t>- Việc sửa đổi, bổ sung Luật HTX nhằm tháo gỡ những khó khăn, vướng mắc liên quan đến các quy định trong quá trình hoạt động của HTX.</w:t>
      </w:r>
    </w:p>
    <w:p w:rsidR="004517D4" w:rsidRPr="00C61221" w:rsidRDefault="004517D4" w:rsidP="00C61221">
      <w:pPr>
        <w:spacing w:before="60" w:after="60"/>
        <w:ind w:right="51" w:firstLine="720"/>
        <w:jc w:val="both"/>
        <w:rPr>
          <w:sz w:val="28"/>
          <w:szCs w:val="28"/>
          <w:lang w:val="de-DE" w:eastAsia="zh-CN"/>
        </w:rPr>
      </w:pPr>
      <w:r w:rsidRPr="00C61221">
        <w:rPr>
          <w:sz w:val="28"/>
          <w:szCs w:val="28"/>
          <w:lang w:val="sv-SE" w:eastAsia="zh-CN"/>
        </w:rPr>
        <w:t xml:space="preserve">- </w:t>
      </w:r>
      <w:r w:rsidRPr="005A4017">
        <w:rPr>
          <w:spacing w:val="-6"/>
          <w:sz w:val="28"/>
          <w:szCs w:val="28"/>
          <w:lang w:val="sv-SE" w:eastAsia="zh-CN"/>
        </w:rPr>
        <w:t>Cần phải sửa đổi, bổ sung Luật HTX đảm bảo áp dụng vào cuộc sống được hiệu quả nhất, phù hợp với quyền, nghĩ vụ, lợi ích của HTX và thành viên HTX.</w:t>
      </w:r>
      <w:r w:rsidRPr="00C61221">
        <w:rPr>
          <w:sz w:val="28"/>
          <w:szCs w:val="28"/>
          <w:lang w:val="sv-SE" w:eastAsia="zh-CN"/>
        </w:rPr>
        <w:t xml:space="preserve"> </w:t>
      </w:r>
    </w:p>
    <w:p w:rsidR="004517D4" w:rsidRPr="00C61221" w:rsidRDefault="004517D4" w:rsidP="00C61221">
      <w:pPr>
        <w:spacing w:before="60" w:after="60"/>
        <w:ind w:right="51" w:firstLine="720"/>
        <w:jc w:val="both"/>
        <w:rPr>
          <w:b/>
          <w:sz w:val="28"/>
          <w:szCs w:val="28"/>
          <w:lang w:val="vi-VN" w:eastAsia="zh-CN"/>
        </w:rPr>
      </w:pPr>
      <w:r w:rsidRPr="00C61221">
        <w:rPr>
          <w:b/>
          <w:bCs/>
          <w:sz w:val="28"/>
          <w:szCs w:val="28"/>
          <w:lang w:val="vi-VN" w:eastAsia="zh-CN"/>
        </w:rPr>
        <w:t>2. Quan điểm, định hướng và chính sách sửa đổi, bổ sung Luật HTX</w:t>
      </w:r>
    </w:p>
    <w:p w:rsidR="004517D4" w:rsidRPr="00C61221" w:rsidRDefault="004517D4" w:rsidP="00C61221">
      <w:pPr>
        <w:spacing w:before="60" w:after="60"/>
        <w:ind w:right="51" w:firstLine="720"/>
        <w:jc w:val="both"/>
        <w:rPr>
          <w:sz w:val="28"/>
          <w:szCs w:val="28"/>
          <w:lang w:val="zu-ZA" w:eastAsia="zh-CN"/>
        </w:rPr>
      </w:pPr>
      <w:r w:rsidRPr="00C61221">
        <w:rPr>
          <w:sz w:val="28"/>
          <w:szCs w:val="28"/>
          <w:lang w:val="zu-ZA" w:eastAsia="zh-CN"/>
        </w:rPr>
        <w:t xml:space="preserve">- </w:t>
      </w:r>
      <w:r w:rsidRPr="005A4017">
        <w:rPr>
          <w:spacing w:val="-4"/>
          <w:sz w:val="28"/>
          <w:szCs w:val="28"/>
          <w:lang w:val="zu-ZA" w:eastAsia="zh-CN"/>
        </w:rPr>
        <w:t xml:space="preserve">Tiếp tục thể chế hóa quan điểm, chủ trương của Đảng về phát triển </w:t>
      </w:r>
      <w:r w:rsidR="005A4017" w:rsidRPr="005A4017">
        <w:rPr>
          <w:spacing w:val="-4"/>
          <w:sz w:val="28"/>
          <w:szCs w:val="28"/>
          <w:lang w:val="zu-ZA" w:eastAsia="zh-CN"/>
        </w:rPr>
        <w:t>KTTT</w:t>
      </w:r>
      <w:r w:rsidRPr="005A4017">
        <w:rPr>
          <w:spacing w:val="-4"/>
          <w:sz w:val="28"/>
          <w:szCs w:val="28"/>
          <w:lang w:val="zu-ZA" w:eastAsia="zh-CN"/>
        </w:rPr>
        <w:t>, HTX; cũng như các quy định của Đảng và Nhà nước về xây dựng pháp luật.</w:t>
      </w:r>
    </w:p>
    <w:p w:rsidR="004517D4" w:rsidRPr="00C61221" w:rsidRDefault="004517D4" w:rsidP="00C61221">
      <w:pPr>
        <w:spacing w:before="60" w:after="60"/>
        <w:ind w:right="51" w:firstLine="720"/>
        <w:jc w:val="both"/>
        <w:rPr>
          <w:sz w:val="28"/>
          <w:szCs w:val="28"/>
          <w:lang w:val="zu-ZA" w:eastAsia="zh-CN"/>
        </w:rPr>
      </w:pPr>
      <w:r w:rsidRPr="00C61221">
        <w:rPr>
          <w:sz w:val="28"/>
          <w:szCs w:val="28"/>
          <w:lang w:val="zu-ZA" w:eastAsia="zh-CN"/>
        </w:rPr>
        <w:t>- Kế thừa các quy định của Luật HTX năm 1996, Luật HTX năm 2003, Luật HTX năm 2012 còn phù hợp với điều kiện hiện nay; Bổ sung, sửa đổi các quy định khác cho phù hợp với bối cảnh, đặc điểm yêu cầu và xu hướng phát triển kinh tế tập thể, HTX.</w:t>
      </w:r>
    </w:p>
    <w:p w:rsidR="004517D4" w:rsidRPr="00C61221" w:rsidRDefault="004517D4" w:rsidP="00C61221">
      <w:pPr>
        <w:spacing w:before="60" w:after="60"/>
        <w:ind w:right="51" w:firstLine="720"/>
        <w:jc w:val="both"/>
        <w:rPr>
          <w:sz w:val="28"/>
          <w:szCs w:val="28"/>
          <w:lang w:val="zu-ZA" w:eastAsia="zh-CN"/>
        </w:rPr>
      </w:pPr>
      <w:r w:rsidRPr="00C61221">
        <w:rPr>
          <w:sz w:val="28"/>
          <w:szCs w:val="28"/>
          <w:lang w:val="zu-ZA" w:eastAsia="zh-CN"/>
        </w:rPr>
        <w:t xml:space="preserve">- Bảo đảm phù hợp với xu thế quản lý và hoạt động của </w:t>
      </w:r>
      <w:r w:rsidR="005A4017">
        <w:rPr>
          <w:sz w:val="28"/>
          <w:szCs w:val="28"/>
          <w:lang w:val="zu-ZA" w:eastAsia="zh-CN"/>
        </w:rPr>
        <w:t>KTTT</w:t>
      </w:r>
      <w:r w:rsidRPr="00C61221">
        <w:rPr>
          <w:sz w:val="28"/>
          <w:szCs w:val="28"/>
          <w:lang w:val="zu-ZA" w:eastAsia="zh-CN"/>
        </w:rPr>
        <w:t>, HTX trong thời kỳ hội nhập và toàn cầu hóa; Tham khảo thêm kinh nghiệm xây dựng pháp luật và phát triển kinh tế tập thể, HTX của các nước trên thế giới.</w:t>
      </w:r>
    </w:p>
    <w:p w:rsidR="004517D4" w:rsidRPr="00C61221" w:rsidRDefault="004517D4" w:rsidP="00C61221">
      <w:pPr>
        <w:spacing w:before="60" w:after="60"/>
        <w:ind w:right="51" w:firstLine="720"/>
        <w:jc w:val="both"/>
        <w:rPr>
          <w:sz w:val="28"/>
          <w:szCs w:val="28"/>
          <w:lang w:val="vi-VN" w:eastAsia="zh-CN"/>
        </w:rPr>
      </w:pPr>
      <w:r w:rsidRPr="00C61221">
        <w:rPr>
          <w:sz w:val="28"/>
          <w:szCs w:val="28"/>
          <w:lang w:val="zu-ZA" w:eastAsia="zh-CN"/>
        </w:rPr>
        <w:t xml:space="preserve">- Tạo hành lang pháp lý, điều kiện thuận lợi để </w:t>
      </w:r>
      <w:r w:rsidR="005A4017">
        <w:rPr>
          <w:sz w:val="28"/>
          <w:szCs w:val="28"/>
          <w:lang w:val="zu-ZA" w:eastAsia="zh-CN"/>
        </w:rPr>
        <w:t>KTTT</w:t>
      </w:r>
      <w:r w:rsidRPr="00C61221">
        <w:rPr>
          <w:sz w:val="28"/>
          <w:szCs w:val="28"/>
          <w:lang w:val="zu-ZA" w:eastAsia="zh-CN"/>
        </w:rPr>
        <w:t>, HTX phát triển nhanh, bền vứng, bình đẳng với các thành phần kinh tế khác, đóng góp nhiều hơn nữa phát triển kinh tế - xã hội của địa phương, đất nước.</w:t>
      </w:r>
    </w:p>
    <w:p w:rsidR="004517D4" w:rsidRPr="00C61221" w:rsidRDefault="004517D4" w:rsidP="00C61221">
      <w:pPr>
        <w:spacing w:before="60" w:after="60"/>
        <w:ind w:right="51" w:firstLine="720"/>
        <w:jc w:val="both"/>
        <w:rPr>
          <w:sz w:val="28"/>
          <w:szCs w:val="28"/>
          <w:lang w:val="vi-VN" w:eastAsia="zh-CN"/>
        </w:rPr>
      </w:pPr>
      <w:r w:rsidRPr="00C61221">
        <w:rPr>
          <w:b/>
          <w:bCs/>
          <w:sz w:val="28"/>
          <w:szCs w:val="28"/>
          <w:lang w:val="vi-VN" w:eastAsia="zh-CN"/>
        </w:rPr>
        <w:t>3. Đánh giá tác động của chính sách, quy định đề xuất</w:t>
      </w:r>
    </w:p>
    <w:p w:rsidR="004517D4" w:rsidRPr="00C61221" w:rsidRDefault="004517D4" w:rsidP="00C61221">
      <w:pPr>
        <w:spacing w:before="60" w:after="60"/>
        <w:ind w:right="51" w:firstLine="720"/>
        <w:jc w:val="both"/>
        <w:rPr>
          <w:sz w:val="28"/>
          <w:szCs w:val="28"/>
          <w:lang w:eastAsia="zh-CN"/>
        </w:rPr>
      </w:pPr>
      <w:r w:rsidRPr="00C61221">
        <w:rPr>
          <w:sz w:val="28"/>
          <w:szCs w:val="28"/>
          <w:lang w:val="vi-VN" w:eastAsia="zh-CN"/>
        </w:rPr>
        <w:t>Mục tiêu chung của việc xây dựng Dự án Luật HTX (sửa đổi) nhằm tạo hành lang pháp lý thông thoáng, loại bỏ các quy định rào cản HTX tham gia thị trường, phát triển thành viên, phát triển kinh tế nhưng vẫn bảo đảm và phát huy đặc trưng, nguyên tắc cơ bản của HTX. Đồng thời, nâng cao hiệu lực, hiệu quả quản lý nhà nước đối với lĩnh vực KTTT, HTX. Phát triển HTX bền vững, lâu dài để HTX thực sự là một ngôi nhà chung, một xã hội thu nhỏ cho tất cả thành viên, được tự do đóng góp, cống hiến và làm việc trọn đời.</w:t>
      </w:r>
    </w:p>
    <w:p w:rsidR="004517D4" w:rsidRPr="00C61221" w:rsidRDefault="004517D4" w:rsidP="00C61221">
      <w:pPr>
        <w:spacing w:before="60" w:after="60"/>
        <w:ind w:right="51" w:firstLine="720"/>
        <w:jc w:val="both"/>
        <w:rPr>
          <w:sz w:val="28"/>
          <w:szCs w:val="28"/>
          <w:lang w:eastAsia="zh-CN"/>
        </w:rPr>
      </w:pPr>
      <w:r w:rsidRPr="00C61221">
        <w:rPr>
          <w:sz w:val="28"/>
          <w:szCs w:val="28"/>
          <w:lang w:val="vi-VN" w:eastAsia="zh-CN"/>
        </w:rPr>
        <w:t>Việc bổ sung, sửa đổi quy định pháp luật về HTX nhằm thể chế hóa đầy đủ quan điểm của Đảng tiếp tục đổi mới, phát triển KTTT, HTX ở nước ta trong thời gian tới. Kế thừa tối đa các quy định của Luật HTX năm 2012 còn phù hợp, đang có hiệu lực, hiệu quả, đồng thời giữ vững các nguyên tắc cơ bản của HTX do Liên minh HTX quốc tế ICA đưa ra trong thế kỷ 21. Các quy định Luật HTX (sửa đổi) được xây dựng trên cơ sở tổng kết thực tiễn phát triển HTX ở nước ta từ khi Luật HTX năm 2012 có hiệu lực thi hành (năm 2013), đồng thời tiếp thu có chọn lọc các kinh nghiệm quốc tế phù hợp với các HTX ở Việt Nam. Lấy HTX là trung tâm để xây dựng khung pháp lý chung cho các đối tượng khác cùng phát triển trên cơ sở tự chủ, tự chịu trách nhiệm, năng động, sáng tạo, hội nhập với thị trường trong nước và quốc tế. Bảo đảm tính hợp hiến, hợp pháp và tính thống nhất trong hệ thống pháp luật, tính tương thích với cam kết quốc tế có liên quan; xác định rõ nội dung, nguyên tắc áp dụng Luật HTX bảo đảm không chồng chéo, mâu thuẫn giữa Luật HTX và các luật khác có liên quan.</w:t>
      </w:r>
    </w:p>
    <w:p w:rsidR="004517D4" w:rsidRPr="00C61221" w:rsidRDefault="004517D4" w:rsidP="00C61221">
      <w:pPr>
        <w:spacing w:before="60" w:after="60"/>
        <w:ind w:right="51" w:firstLine="720"/>
        <w:jc w:val="both"/>
        <w:rPr>
          <w:sz w:val="28"/>
          <w:szCs w:val="28"/>
          <w:lang w:eastAsia="zh-CN"/>
        </w:rPr>
      </w:pPr>
      <w:r w:rsidRPr="00C61221">
        <w:rPr>
          <w:sz w:val="28"/>
          <w:szCs w:val="28"/>
          <w:lang w:val="vi-VN" w:eastAsia="zh-CN"/>
        </w:rPr>
        <w:t>Phạm vi điều chỉnh của Luật HTX (sửa đổi) này quy định việc thành lập, tổ chức và hoạt động của tổ chức KTHT bao gồm tổ hợp tác (THT), HTX, LHHTX và các tổ chức đại diện như liên đoàn HTX, liên minh HTX trong các ngành, lĩnh vực của nền kinh tế. Đồng thời, áp dụng đối với HTX, liên hiệp HTX, liên đoàn HTX, thành viên HTX, HTX thành viên và tổ chức, hộ gia đình, cá nhân có liên quan đến việc thành lập, tổ chức, hoạt động của các tổ chức KTHT và các tổ chức đại diện.</w:t>
      </w:r>
    </w:p>
    <w:p w:rsidR="004517D4" w:rsidRPr="00C61221" w:rsidRDefault="004517D4" w:rsidP="00C61221">
      <w:pPr>
        <w:spacing w:before="60" w:after="60"/>
        <w:ind w:right="51" w:firstLine="720"/>
        <w:jc w:val="both"/>
        <w:rPr>
          <w:sz w:val="28"/>
          <w:szCs w:val="28"/>
          <w:lang w:eastAsia="zh-CN"/>
        </w:rPr>
      </w:pPr>
      <w:r w:rsidRPr="00C61221">
        <w:rPr>
          <w:b/>
          <w:bCs/>
          <w:sz w:val="28"/>
          <w:szCs w:val="28"/>
          <w:lang w:val="vi-VN" w:eastAsia="zh-CN"/>
        </w:rPr>
        <w:t xml:space="preserve">II. KIẾN NGHỊ SỬA ĐỔI, BỔ SUNG LUẬT </w:t>
      </w:r>
      <w:r w:rsidR="005A4017">
        <w:rPr>
          <w:b/>
          <w:bCs/>
          <w:sz w:val="28"/>
          <w:szCs w:val="28"/>
          <w:lang w:eastAsia="zh-CN"/>
        </w:rPr>
        <w:t>HTX</w:t>
      </w:r>
      <w:r w:rsidRPr="00C61221">
        <w:rPr>
          <w:b/>
          <w:bCs/>
          <w:sz w:val="28"/>
          <w:szCs w:val="28"/>
          <w:lang w:val="vi-VN" w:eastAsia="zh-CN"/>
        </w:rPr>
        <w:t xml:space="preserve"> NĂM 2012</w:t>
      </w:r>
      <w:r w:rsidRPr="00C61221">
        <w:rPr>
          <w:sz w:val="28"/>
          <w:szCs w:val="28"/>
          <w:lang w:eastAsia="zh-CN"/>
        </w:rPr>
        <w:t xml:space="preserve"> </w:t>
      </w:r>
    </w:p>
    <w:p w:rsidR="004517D4" w:rsidRPr="00C61221" w:rsidRDefault="004517D4" w:rsidP="00C61221">
      <w:pPr>
        <w:spacing w:before="60" w:after="60"/>
        <w:ind w:right="51" w:firstLine="720"/>
        <w:jc w:val="both"/>
        <w:rPr>
          <w:b/>
          <w:sz w:val="28"/>
          <w:szCs w:val="28"/>
          <w:lang w:eastAsia="zh-CN"/>
        </w:rPr>
      </w:pPr>
      <w:r w:rsidRPr="00C61221">
        <w:rPr>
          <w:b/>
          <w:sz w:val="28"/>
          <w:szCs w:val="28"/>
          <w:lang w:eastAsia="zh-CN"/>
        </w:rPr>
        <w:t>1. Thống nhất đề</w:t>
      </w:r>
      <w:r w:rsidR="005A4017">
        <w:rPr>
          <w:b/>
          <w:sz w:val="28"/>
          <w:szCs w:val="28"/>
          <w:lang w:eastAsia="zh-CN"/>
        </w:rPr>
        <w:t xml:space="preserve"> nghị sửa đổi Luật HTX năm 2012</w:t>
      </w:r>
    </w:p>
    <w:p w:rsidR="004517D4" w:rsidRPr="00C61221" w:rsidRDefault="004517D4" w:rsidP="00C61221">
      <w:pPr>
        <w:spacing w:before="60" w:after="60"/>
        <w:ind w:right="51" w:firstLine="720"/>
        <w:jc w:val="both"/>
        <w:rPr>
          <w:b/>
          <w:sz w:val="28"/>
          <w:szCs w:val="28"/>
          <w:lang w:eastAsia="zh-CN"/>
        </w:rPr>
      </w:pPr>
      <w:r w:rsidRPr="00C61221">
        <w:rPr>
          <w:b/>
          <w:sz w:val="28"/>
          <w:szCs w:val="28"/>
          <w:lang w:eastAsia="zh-CN"/>
        </w:rPr>
        <w:t>2. Một số nội dung đề nghị sửa đổi, bổ sung</w:t>
      </w:r>
    </w:p>
    <w:p w:rsidR="004517D4" w:rsidRPr="00C61221" w:rsidRDefault="004517D4" w:rsidP="00C61221">
      <w:pPr>
        <w:spacing w:before="60" w:after="60"/>
        <w:ind w:right="51" w:firstLine="720"/>
        <w:jc w:val="center"/>
        <w:rPr>
          <w:i/>
          <w:iCs/>
          <w:sz w:val="28"/>
          <w:szCs w:val="28"/>
          <w:lang w:eastAsia="zh-CN"/>
        </w:rPr>
      </w:pPr>
      <w:r w:rsidRPr="00C61221">
        <w:rPr>
          <w:i/>
          <w:iCs/>
          <w:sz w:val="28"/>
          <w:szCs w:val="28"/>
          <w:lang w:val="vi-VN" w:eastAsia="zh-CN"/>
        </w:rPr>
        <w:t>(</w:t>
      </w:r>
      <w:r w:rsidRPr="00C61221">
        <w:rPr>
          <w:i/>
          <w:iCs/>
          <w:sz w:val="28"/>
          <w:szCs w:val="28"/>
          <w:lang w:eastAsia="zh-CN"/>
        </w:rPr>
        <w:t>Chi tiết</w:t>
      </w:r>
      <w:r w:rsidRPr="00C61221">
        <w:rPr>
          <w:i/>
          <w:iCs/>
          <w:sz w:val="28"/>
          <w:szCs w:val="28"/>
          <w:lang w:val="vi-VN" w:eastAsia="zh-CN"/>
        </w:rPr>
        <w:t xml:space="preserve"> Phụ lục VII đính kèm)</w:t>
      </w:r>
    </w:p>
    <w:p w:rsidR="004517D4" w:rsidRPr="00C61221" w:rsidRDefault="004517D4" w:rsidP="00C61221">
      <w:pPr>
        <w:spacing w:before="60" w:after="60"/>
        <w:ind w:right="51" w:firstLine="720"/>
        <w:jc w:val="both"/>
        <w:rPr>
          <w:b/>
          <w:sz w:val="28"/>
          <w:szCs w:val="28"/>
          <w:lang w:eastAsia="zh-CN"/>
        </w:rPr>
      </w:pPr>
      <w:r w:rsidRPr="00C61221">
        <w:rPr>
          <w:b/>
          <w:sz w:val="28"/>
          <w:szCs w:val="28"/>
          <w:lang w:eastAsia="zh-CN"/>
        </w:rPr>
        <w:t xml:space="preserve">3. </w:t>
      </w:r>
      <w:r w:rsidRPr="00C61221">
        <w:rPr>
          <w:sz w:val="28"/>
          <w:szCs w:val="28"/>
          <w:lang w:eastAsia="zh-CN"/>
        </w:rPr>
        <w:t xml:space="preserve">Một số ý kiến về dự thảo hồ sơ sửa đổi Luật </w:t>
      </w:r>
      <w:r w:rsidR="005A4017">
        <w:rPr>
          <w:sz w:val="28"/>
          <w:szCs w:val="28"/>
          <w:lang w:eastAsia="zh-CN"/>
        </w:rPr>
        <w:t>HTX</w:t>
      </w:r>
      <w:r w:rsidR="002D5F55">
        <w:rPr>
          <w:sz w:val="28"/>
          <w:szCs w:val="28"/>
          <w:lang w:eastAsia="zh-CN"/>
        </w:rPr>
        <w:t xml:space="preserve"> 2012</w:t>
      </w:r>
      <w:r w:rsidRPr="00C61221">
        <w:rPr>
          <w:sz w:val="28"/>
          <w:szCs w:val="28"/>
          <w:lang w:eastAsia="zh-CN"/>
        </w:rPr>
        <w:t>:</w:t>
      </w:r>
    </w:p>
    <w:p w:rsidR="004517D4" w:rsidRPr="00C61221" w:rsidRDefault="004517D4" w:rsidP="00C61221">
      <w:pPr>
        <w:spacing w:before="60" w:after="60"/>
        <w:ind w:right="51" w:firstLine="720"/>
        <w:jc w:val="both"/>
        <w:rPr>
          <w:sz w:val="28"/>
          <w:szCs w:val="28"/>
          <w:lang w:eastAsia="zh-CN"/>
        </w:rPr>
      </w:pPr>
      <w:r w:rsidRPr="00C61221">
        <w:rPr>
          <w:sz w:val="28"/>
          <w:szCs w:val="28"/>
          <w:lang w:val="zu-ZA" w:eastAsia="zh-CN"/>
        </w:rPr>
        <w:t xml:space="preserve">a) Cơ bản thống nhất nội dung </w:t>
      </w:r>
      <w:r w:rsidRPr="00C61221">
        <w:rPr>
          <w:sz w:val="28"/>
          <w:szCs w:val="28"/>
          <w:lang w:eastAsia="zh-CN"/>
        </w:rPr>
        <w:t xml:space="preserve">dự thảo hồ sơ sửa đổi Luật </w:t>
      </w:r>
      <w:r w:rsidR="009C7900">
        <w:rPr>
          <w:sz w:val="28"/>
          <w:szCs w:val="28"/>
          <w:lang w:eastAsia="zh-CN"/>
        </w:rPr>
        <w:t>HTX</w:t>
      </w:r>
      <w:r w:rsidRPr="00C61221">
        <w:rPr>
          <w:sz w:val="28"/>
          <w:szCs w:val="28"/>
          <w:lang w:eastAsia="zh-CN"/>
        </w:rPr>
        <w:t xml:space="preserve"> 2012 do Bộ Kế hoạch và Đầu tư soạn thảo.</w:t>
      </w:r>
    </w:p>
    <w:p w:rsidR="004517D4" w:rsidRPr="00C61221" w:rsidRDefault="004517D4" w:rsidP="00C61221">
      <w:pPr>
        <w:spacing w:before="60" w:after="60"/>
        <w:ind w:right="51" w:firstLine="720"/>
        <w:jc w:val="both"/>
        <w:rPr>
          <w:sz w:val="28"/>
          <w:szCs w:val="28"/>
          <w:lang w:val="zu-ZA" w:eastAsia="zh-CN"/>
        </w:rPr>
      </w:pPr>
      <w:r w:rsidRPr="00C61221">
        <w:rPr>
          <w:sz w:val="28"/>
          <w:szCs w:val="28"/>
          <w:lang w:eastAsia="zh-CN"/>
        </w:rPr>
        <w:t>b) Một số ý kiến đóng góp như sau:</w:t>
      </w:r>
    </w:p>
    <w:p w:rsidR="004517D4" w:rsidRPr="00C61221" w:rsidRDefault="004517D4" w:rsidP="00C61221">
      <w:pPr>
        <w:spacing w:before="60" w:after="60"/>
        <w:ind w:right="51" w:firstLine="720"/>
        <w:jc w:val="both"/>
        <w:rPr>
          <w:b/>
          <w:sz w:val="28"/>
          <w:szCs w:val="28"/>
          <w:lang w:val="zu-ZA" w:eastAsia="zh-CN"/>
        </w:rPr>
      </w:pPr>
      <w:r w:rsidRPr="00C61221">
        <w:rPr>
          <w:b/>
          <w:sz w:val="28"/>
          <w:szCs w:val="28"/>
          <w:lang w:val="zu-ZA" w:eastAsia="zh-CN"/>
        </w:rPr>
        <w:t>(1) Điều 25. Góp vốn điều lệ và giấy chứng nhận vốn góp đối với hợp tác xã, liên hiệp hợp tác xã</w:t>
      </w:r>
    </w:p>
    <w:p w:rsidR="004517D4" w:rsidRPr="00C61221" w:rsidRDefault="004517D4" w:rsidP="00C61221">
      <w:pPr>
        <w:spacing w:before="60" w:after="60"/>
        <w:ind w:right="51" w:firstLine="720"/>
        <w:jc w:val="both"/>
        <w:rPr>
          <w:sz w:val="28"/>
          <w:szCs w:val="28"/>
          <w:lang w:val="zu-ZA" w:eastAsia="zh-CN"/>
        </w:rPr>
      </w:pPr>
      <w:r w:rsidRPr="00C61221">
        <w:rPr>
          <w:sz w:val="28"/>
          <w:szCs w:val="28"/>
          <w:lang w:val="it-IT" w:eastAsia="zh-CN"/>
        </w:rPr>
        <w:t>Dự thảo ghi: “</w:t>
      </w:r>
      <w:r w:rsidRPr="002D5F55">
        <w:rPr>
          <w:i/>
          <w:sz w:val="28"/>
          <w:szCs w:val="28"/>
          <w:lang w:val="it-IT" w:eastAsia="zh-CN"/>
        </w:rPr>
        <w:t xml:space="preserve">Sửa đổi quy định về góp vốn của thành viên theo hướng tăng tỷ lệ góp vốn tối đa, bổ sung điều kiện rút/trả lại vốn góp cho thành viên không làm ảnh hưởng hoạt động sản xuất kinh doanh của </w:t>
      </w:r>
      <w:r w:rsidR="008915A5">
        <w:rPr>
          <w:i/>
          <w:sz w:val="28"/>
          <w:szCs w:val="28"/>
          <w:lang w:val="it-IT" w:eastAsia="zh-CN"/>
        </w:rPr>
        <w:t>HTX</w:t>
      </w:r>
      <w:r w:rsidRPr="002D5F55">
        <w:rPr>
          <w:i/>
          <w:sz w:val="28"/>
          <w:szCs w:val="28"/>
          <w:lang w:val="it-IT" w:eastAsia="zh-CN"/>
        </w:rPr>
        <w:t xml:space="preserve">, được quy định trong điều lệ </w:t>
      </w:r>
      <w:r w:rsidR="008915A5">
        <w:rPr>
          <w:i/>
          <w:sz w:val="28"/>
          <w:szCs w:val="28"/>
          <w:lang w:val="it-IT" w:eastAsia="zh-CN"/>
        </w:rPr>
        <w:t>HTX</w:t>
      </w:r>
      <w:r w:rsidRPr="002D5F55">
        <w:rPr>
          <w:i/>
          <w:sz w:val="28"/>
          <w:szCs w:val="28"/>
          <w:lang w:val="it-IT" w:eastAsia="zh-CN"/>
        </w:rPr>
        <w:t xml:space="preserve"> (mức trả hàng năm tối đa không quá 30% vốn điều lệ, thời gian trả không quá 5 năm</w:t>
      </w:r>
      <w:r w:rsidRPr="002D5F55">
        <w:rPr>
          <w:sz w:val="28"/>
          <w:szCs w:val="28"/>
          <w:lang w:val="it-IT" w:eastAsia="zh-CN"/>
        </w:rPr>
        <w:t>)”.</w:t>
      </w:r>
      <w:r w:rsidRPr="002D5F55">
        <w:rPr>
          <w:sz w:val="28"/>
          <w:szCs w:val="28"/>
          <w:lang w:val="zu-ZA" w:eastAsia="zh-CN"/>
        </w:rPr>
        <w:t xml:space="preserve"> Đề nghị điều chỉnh thành:</w:t>
      </w:r>
      <w:r w:rsidRPr="00C61221">
        <w:rPr>
          <w:i/>
          <w:sz w:val="28"/>
          <w:szCs w:val="28"/>
          <w:lang w:val="zu-ZA" w:eastAsia="zh-CN"/>
        </w:rPr>
        <w:t xml:space="preserve"> </w:t>
      </w:r>
      <w:r w:rsidRPr="00C61221">
        <w:rPr>
          <w:sz w:val="28"/>
          <w:szCs w:val="28"/>
          <w:lang w:val="zu-ZA" w:eastAsia="zh-CN"/>
        </w:rPr>
        <w:t>“</w:t>
      </w:r>
      <w:r w:rsidR="008915A5">
        <w:rPr>
          <w:i/>
          <w:sz w:val="28"/>
          <w:szCs w:val="28"/>
          <w:lang w:val="zu-ZA" w:eastAsia="zh-CN"/>
        </w:rPr>
        <w:t>Sửa đổi quy định góp vốn...</w:t>
      </w:r>
      <w:r w:rsidRPr="002D5F55">
        <w:rPr>
          <w:i/>
          <w:sz w:val="28"/>
          <w:szCs w:val="28"/>
          <w:lang w:val="zu-ZA" w:eastAsia="zh-CN"/>
        </w:rPr>
        <w:t xml:space="preserve"> trong điều </w:t>
      </w:r>
      <w:r w:rsidR="008915A5">
        <w:rPr>
          <w:i/>
          <w:sz w:val="28"/>
          <w:szCs w:val="28"/>
          <w:lang w:val="zu-ZA" w:eastAsia="zh-CN"/>
        </w:rPr>
        <w:t xml:space="preserve">lệ </w:t>
      </w:r>
      <w:r w:rsidR="002D5F55">
        <w:rPr>
          <w:i/>
          <w:sz w:val="28"/>
          <w:szCs w:val="28"/>
          <w:lang w:val="it-IT" w:eastAsia="zh-CN"/>
        </w:rPr>
        <w:t>HTX</w:t>
      </w:r>
      <w:r w:rsidRPr="002D5F55">
        <w:rPr>
          <w:i/>
          <w:sz w:val="28"/>
          <w:szCs w:val="28"/>
          <w:lang w:val="zu-ZA" w:eastAsia="zh-CN"/>
        </w:rPr>
        <w:t xml:space="preserve"> </w:t>
      </w:r>
      <w:r w:rsidRPr="008915A5">
        <w:rPr>
          <w:i/>
          <w:sz w:val="28"/>
          <w:szCs w:val="28"/>
          <w:lang w:val="zu-ZA" w:eastAsia="zh-CN"/>
        </w:rPr>
        <w:t>(m</w:t>
      </w:r>
      <w:r w:rsidRPr="008915A5">
        <w:rPr>
          <w:i/>
          <w:sz w:val="28"/>
          <w:szCs w:val="28"/>
          <w:lang w:val="it-IT" w:eastAsia="zh-CN"/>
        </w:rPr>
        <w:t>ức trả hàng năm tối đa không quá 30% vốn điều lệ, thời gian trả</w:t>
      </w:r>
      <w:r w:rsidRPr="002D5F55">
        <w:rPr>
          <w:b/>
          <w:i/>
          <w:sz w:val="28"/>
          <w:szCs w:val="28"/>
          <w:lang w:val="it-IT" w:eastAsia="zh-CN"/>
        </w:rPr>
        <w:t xml:space="preserve"> do điều lệ quy định phù hợp tình hình thực tế các địa phương, HTX)</w:t>
      </w:r>
      <w:r w:rsidR="002D5F55">
        <w:rPr>
          <w:b/>
          <w:i/>
          <w:sz w:val="28"/>
          <w:szCs w:val="28"/>
          <w:lang w:val="it-IT" w:eastAsia="zh-CN"/>
        </w:rPr>
        <w:t>”</w:t>
      </w:r>
      <w:r w:rsidRPr="00C61221">
        <w:rPr>
          <w:b/>
          <w:sz w:val="28"/>
          <w:szCs w:val="28"/>
          <w:lang w:val="it-IT" w:eastAsia="zh-CN"/>
        </w:rPr>
        <w:t>.</w:t>
      </w:r>
    </w:p>
    <w:p w:rsidR="004517D4" w:rsidRPr="00C61221" w:rsidRDefault="004517D4" w:rsidP="00C61221">
      <w:pPr>
        <w:spacing w:before="60" w:after="60"/>
        <w:ind w:right="51" w:firstLine="720"/>
        <w:jc w:val="both"/>
        <w:rPr>
          <w:b/>
          <w:sz w:val="28"/>
          <w:szCs w:val="28"/>
          <w:lang w:val="zu-ZA" w:eastAsia="zh-CN"/>
        </w:rPr>
      </w:pPr>
      <w:r w:rsidRPr="00C61221">
        <w:rPr>
          <w:b/>
          <w:sz w:val="28"/>
          <w:szCs w:val="28"/>
          <w:lang w:val="zu-ZA" w:eastAsia="zh-CN"/>
        </w:rPr>
        <w:t xml:space="preserve">(2) Điều 29. Thành lập </w:t>
      </w:r>
      <w:r w:rsidR="008915A5">
        <w:rPr>
          <w:b/>
          <w:sz w:val="28"/>
          <w:szCs w:val="28"/>
          <w:lang w:val="zu-ZA" w:eastAsia="zh-CN"/>
        </w:rPr>
        <w:t>HTX</w:t>
      </w:r>
      <w:r w:rsidRPr="00C61221">
        <w:rPr>
          <w:b/>
          <w:sz w:val="28"/>
          <w:szCs w:val="28"/>
          <w:lang w:val="zu-ZA" w:eastAsia="zh-CN"/>
        </w:rPr>
        <w:t xml:space="preserve">, </w:t>
      </w:r>
      <w:r w:rsidR="008915A5">
        <w:rPr>
          <w:b/>
          <w:sz w:val="28"/>
          <w:szCs w:val="28"/>
          <w:lang w:val="zu-ZA" w:eastAsia="zh-CN"/>
        </w:rPr>
        <w:t>LHHTX</w:t>
      </w:r>
    </w:p>
    <w:p w:rsidR="004517D4" w:rsidRPr="00C61221" w:rsidRDefault="004517D4" w:rsidP="00C61221">
      <w:pPr>
        <w:spacing w:before="60" w:after="60"/>
        <w:ind w:right="51" w:firstLine="720"/>
        <w:jc w:val="both"/>
        <w:rPr>
          <w:bCs/>
          <w:sz w:val="28"/>
          <w:szCs w:val="28"/>
          <w:lang w:val="de-DE" w:eastAsia="zh-CN"/>
        </w:rPr>
      </w:pPr>
      <w:r w:rsidRPr="00C61221">
        <w:rPr>
          <w:bCs/>
          <w:sz w:val="28"/>
          <w:szCs w:val="28"/>
          <w:lang w:val="de-DE" w:eastAsia="zh-CN"/>
        </w:rPr>
        <w:t xml:space="preserve">Đề nghị bổ sung </w:t>
      </w:r>
      <w:r w:rsidRPr="00C61221">
        <w:rPr>
          <w:bCs/>
          <w:sz w:val="28"/>
          <w:szCs w:val="28"/>
          <w:lang w:val="vi-VN" w:eastAsia="zh-CN"/>
        </w:rPr>
        <w:t xml:space="preserve">02 </w:t>
      </w:r>
      <w:r w:rsidRPr="00C61221">
        <w:rPr>
          <w:bCs/>
          <w:sz w:val="28"/>
          <w:szCs w:val="28"/>
          <w:lang w:val="de-DE" w:eastAsia="zh-CN"/>
        </w:rPr>
        <w:t xml:space="preserve">nội dung: </w:t>
      </w:r>
    </w:p>
    <w:p w:rsidR="004517D4" w:rsidRPr="00C61221" w:rsidRDefault="004517D4" w:rsidP="00C61221">
      <w:pPr>
        <w:spacing w:before="60" w:after="60"/>
        <w:ind w:right="51" w:firstLine="720"/>
        <w:jc w:val="both"/>
        <w:rPr>
          <w:bCs/>
          <w:sz w:val="28"/>
          <w:szCs w:val="28"/>
          <w:lang w:val="de-DE" w:eastAsia="zh-CN"/>
        </w:rPr>
      </w:pPr>
      <w:r w:rsidRPr="00C61221">
        <w:rPr>
          <w:bCs/>
          <w:sz w:val="28"/>
          <w:szCs w:val="28"/>
          <w:lang w:eastAsia="zh-CN"/>
        </w:rPr>
        <w:t>-</w:t>
      </w:r>
      <w:r w:rsidRPr="00C61221">
        <w:rPr>
          <w:bCs/>
          <w:sz w:val="28"/>
          <w:szCs w:val="28"/>
          <w:lang w:val="vi-VN" w:eastAsia="zh-CN"/>
        </w:rPr>
        <w:t xml:space="preserve"> </w:t>
      </w:r>
      <w:r w:rsidRPr="00C61221">
        <w:rPr>
          <w:bCs/>
          <w:sz w:val="28"/>
          <w:szCs w:val="28"/>
          <w:lang w:val="de-DE" w:eastAsia="zh-CN"/>
        </w:rPr>
        <w:t>Các thành viên thảo luận và thông qua Quy chế về quản lý tài chính của HTX, quy chế hoạt động của hội đồng quản trị</w:t>
      </w:r>
    </w:p>
    <w:p w:rsidR="004517D4" w:rsidRPr="00C61221" w:rsidRDefault="004517D4" w:rsidP="00C61221">
      <w:pPr>
        <w:spacing w:before="60" w:after="60"/>
        <w:ind w:right="51" w:firstLine="720"/>
        <w:jc w:val="both"/>
        <w:rPr>
          <w:bCs/>
          <w:sz w:val="28"/>
          <w:szCs w:val="28"/>
          <w:lang w:val="de-DE" w:eastAsia="zh-CN"/>
        </w:rPr>
      </w:pPr>
      <w:r w:rsidRPr="00C61221">
        <w:rPr>
          <w:sz w:val="28"/>
          <w:szCs w:val="28"/>
          <w:lang w:eastAsia="zh-CN"/>
        </w:rPr>
        <w:t>-</w:t>
      </w:r>
      <w:r w:rsidRPr="00C61221">
        <w:rPr>
          <w:sz w:val="28"/>
          <w:szCs w:val="28"/>
          <w:lang w:val="vi-VN" w:eastAsia="zh-CN"/>
        </w:rPr>
        <w:t xml:space="preserve"> Không</w:t>
      </w:r>
      <w:r w:rsidRPr="00C61221">
        <w:rPr>
          <w:b/>
          <w:bCs/>
          <w:sz w:val="28"/>
          <w:szCs w:val="28"/>
          <w:lang w:val="de-DE" w:eastAsia="zh-CN"/>
        </w:rPr>
        <w:t xml:space="preserve"> </w:t>
      </w:r>
      <w:r w:rsidRPr="00C61221">
        <w:rPr>
          <w:bCs/>
          <w:sz w:val="28"/>
          <w:szCs w:val="28"/>
          <w:lang w:val="de-DE" w:eastAsia="zh-CN"/>
        </w:rPr>
        <w:t xml:space="preserve">quy định tỷ lệ cung ứng sản phẩm dịch vụ ra ngoài thành viên mà để HTX tự nguyện quyết định trong Điều lệ của HTX, đảm bảo tính tự chủ, tự chịu trách nhiệm của HTX. </w:t>
      </w:r>
    </w:p>
    <w:p w:rsidR="004517D4" w:rsidRPr="00C61221" w:rsidRDefault="004517D4" w:rsidP="00C61221">
      <w:pPr>
        <w:spacing w:before="60" w:after="60"/>
        <w:ind w:right="51" w:firstLine="720"/>
        <w:jc w:val="both"/>
        <w:rPr>
          <w:b/>
          <w:sz w:val="28"/>
          <w:szCs w:val="28"/>
          <w:lang w:val="de-DE" w:eastAsia="zh-CN"/>
        </w:rPr>
      </w:pPr>
      <w:r w:rsidRPr="00C61221">
        <w:rPr>
          <w:b/>
          <w:sz w:val="28"/>
          <w:szCs w:val="28"/>
          <w:lang w:val="de-DE" w:eastAsia="zh-CN"/>
        </w:rPr>
        <w:t xml:space="preserve">(3) Điều 34. Sổ đăng ký thành viên, </w:t>
      </w:r>
      <w:r w:rsidR="008915A5">
        <w:rPr>
          <w:b/>
          <w:sz w:val="28"/>
          <w:szCs w:val="28"/>
          <w:lang w:val="de-DE" w:eastAsia="zh-CN"/>
        </w:rPr>
        <w:t>HTX</w:t>
      </w:r>
      <w:r w:rsidRPr="00C61221">
        <w:rPr>
          <w:b/>
          <w:sz w:val="28"/>
          <w:szCs w:val="28"/>
          <w:lang w:val="de-DE" w:eastAsia="zh-CN"/>
        </w:rPr>
        <w:t xml:space="preserve"> thành viên </w:t>
      </w:r>
      <w:r w:rsidR="008915A5">
        <w:rPr>
          <w:b/>
          <w:sz w:val="28"/>
          <w:szCs w:val="28"/>
          <w:lang w:val="de-DE" w:eastAsia="zh-CN"/>
        </w:rPr>
        <w:t>HTX</w:t>
      </w:r>
      <w:r w:rsidRPr="00C61221">
        <w:rPr>
          <w:b/>
          <w:sz w:val="28"/>
          <w:szCs w:val="28"/>
          <w:lang w:val="de-DE" w:eastAsia="zh-CN"/>
        </w:rPr>
        <w:t xml:space="preserve">, </w:t>
      </w:r>
      <w:r w:rsidR="008915A5">
        <w:rPr>
          <w:b/>
          <w:sz w:val="28"/>
          <w:szCs w:val="28"/>
          <w:lang w:val="de-DE" w:eastAsia="zh-CN"/>
        </w:rPr>
        <w:t>LHHTX</w:t>
      </w:r>
    </w:p>
    <w:p w:rsidR="004517D4" w:rsidRPr="00C61221" w:rsidRDefault="004517D4" w:rsidP="00C61221">
      <w:pPr>
        <w:spacing w:before="60" w:after="60"/>
        <w:ind w:right="51" w:firstLine="720"/>
        <w:jc w:val="both"/>
        <w:rPr>
          <w:sz w:val="28"/>
          <w:szCs w:val="28"/>
          <w:lang w:val="de-DE" w:eastAsia="zh-CN"/>
        </w:rPr>
      </w:pPr>
      <w:r w:rsidRPr="00C61221">
        <w:rPr>
          <w:sz w:val="28"/>
          <w:szCs w:val="28"/>
          <w:lang w:val="vi-VN" w:eastAsia="zh-CN"/>
        </w:rPr>
        <w:t>Đề nghị</w:t>
      </w:r>
      <w:r w:rsidRPr="00C61221">
        <w:rPr>
          <w:sz w:val="28"/>
          <w:szCs w:val="28"/>
          <w:lang w:eastAsia="zh-CN"/>
        </w:rPr>
        <w:t xml:space="preserve"> </w:t>
      </w:r>
      <w:r w:rsidRPr="00C61221">
        <w:rPr>
          <w:sz w:val="28"/>
          <w:szCs w:val="28"/>
          <w:lang w:val="vi-VN" w:eastAsia="zh-CN"/>
        </w:rPr>
        <w:t xml:space="preserve">bổ sung nội dung: </w:t>
      </w:r>
      <w:r w:rsidR="00533A50" w:rsidRPr="00533A50">
        <w:rPr>
          <w:sz w:val="28"/>
          <w:szCs w:val="28"/>
          <w:lang w:val="vi-VN" w:eastAsia="zh-CN"/>
        </w:rPr>
        <w:t>“</w:t>
      </w:r>
      <w:r w:rsidR="008915A5" w:rsidRPr="00533A50">
        <w:rPr>
          <w:i/>
          <w:sz w:val="28"/>
          <w:szCs w:val="28"/>
          <w:lang w:eastAsia="zh-CN"/>
        </w:rPr>
        <w:t>g</w:t>
      </w:r>
      <w:r w:rsidRPr="00533A50">
        <w:rPr>
          <w:i/>
          <w:sz w:val="28"/>
          <w:szCs w:val="28"/>
          <w:lang w:val="vi-VN" w:eastAsia="zh-CN"/>
        </w:rPr>
        <w:t xml:space="preserve">iá trị vốn góp của từng thành viên, </w:t>
      </w:r>
      <w:r w:rsidR="008915A5" w:rsidRPr="00533A50">
        <w:rPr>
          <w:i/>
          <w:sz w:val="28"/>
          <w:szCs w:val="28"/>
          <w:lang w:eastAsia="zh-CN"/>
        </w:rPr>
        <w:t>HTX</w:t>
      </w:r>
      <w:r w:rsidRPr="00533A50">
        <w:rPr>
          <w:i/>
          <w:sz w:val="28"/>
          <w:szCs w:val="28"/>
          <w:lang w:val="vi-VN" w:eastAsia="zh-CN"/>
        </w:rPr>
        <w:t xml:space="preserve"> thành viên; thời điểm cam kết góp đủ vốn góp; thời điểm góp đủ vốn góp</w:t>
      </w:r>
      <w:r w:rsidR="00533A50" w:rsidRPr="00533A50">
        <w:rPr>
          <w:sz w:val="28"/>
          <w:szCs w:val="28"/>
          <w:lang w:val="vi-VN" w:eastAsia="zh-CN"/>
        </w:rPr>
        <w:t>”</w:t>
      </w:r>
      <w:r w:rsidRPr="00C61221">
        <w:rPr>
          <w:sz w:val="28"/>
          <w:szCs w:val="28"/>
          <w:lang w:eastAsia="zh-CN"/>
        </w:rPr>
        <w:t>.</w:t>
      </w:r>
    </w:p>
    <w:p w:rsidR="004517D4" w:rsidRPr="00C61221" w:rsidRDefault="004517D4" w:rsidP="00C61221">
      <w:pPr>
        <w:spacing w:before="60" w:after="60"/>
        <w:ind w:right="51" w:firstLine="720"/>
        <w:jc w:val="both"/>
        <w:rPr>
          <w:b/>
          <w:sz w:val="28"/>
          <w:szCs w:val="28"/>
          <w:lang w:val="de-DE" w:eastAsia="zh-CN"/>
        </w:rPr>
      </w:pPr>
      <w:r w:rsidRPr="00C61221">
        <w:rPr>
          <w:b/>
          <w:sz w:val="28"/>
          <w:szCs w:val="28"/>
          <w:lang w:val="de-DE" w:eastAsia="zh-CN"/>
        </w:rPr>
        <w:t xml:space="preserve">(4) Điều 37. Thay đổi nội dung đăng ký của </w:t>
      </w:r>
      <w:r w:rsidR="008915A5">
        <w:rPr>
          <w:b/>
          <w:sz w:val="28"/>
          <w:szCs w:val="28"/>
          <w:lang w:val="de-DE" w:eastAsia="zh-CN"/>
        </w:rPr>
        <w:t>HTX, LHHTX</w:t>
      </w:r>
    </w:p>
    <w:p w:rsidR="004517D4" w:rsidRPr="00C61221" w:rsidRDefault="004517D4" w:rsidP="00C61221">
      <w:pPr>
        <w:spacing w:before="60" w:after="60"/>
        <w:ind w:right="51" w:firstLine="720"/>
        <w:jc w:val="both"/>
        <w:rPr>
          <w:bCs/>
          <w:sz w:val="28"/>
          <w:szCs w:val="28"/>
          <w:lang w:val="de-DE" w:eastAsia="zh-CN"/>
        </w:rPr>
      </w:pPr>
      <w:r w:rsidRPr="00C61221">
        <w:rPr>
          <w:bCs/>
          <w:sz w:val="28"/>
          <w:szCs w:val="28"/>
          <w:lang w:val="vi-VN" w:eastAsia="zh-CN"/>
        </w:rPr>
        <w:t>Về t</w:t>
      </w:r>
      <w:r w:rsidRPr="00C61221">
        <w:rPr>
          <w:bCs/>
          <w:sz w:val="28"/>
          <w:szCs w:val="28"/>
          <w:lang w:val="de-DE" w:eastAsia="zh-CN"/>
        </w:rPr>
        <w:t>hàn</w:t>
      </w:r>
      <w:r w:rsidR="008915A5">
        <w:rPr>
          <w:bCs/>
          <w:sz w:val="28"/>
          <w:szCs w:val="28"/>
          <w:lang w:val="de-DE" w:eastAsia="zh-CN"/>
        </w:rPr>
        <w:t>h lập và đăng ký HTX, LH</w:t>
      </w:r>
      <w:r w:rsidRPr="00C61221">
        <w:rPr>
          <w:bCs/>
          <w:sz w:val="28"/>
          <w:szCs w:val="28"/>
          <w:lang w:val="de-DE" w:eastAsia="zh-CN"/>
        </w:rPr>
        <w:t>HTX</w:t>
      </w:r>
      <w:r w:rsidR="008915A5">
        <w:rPr>
          <w:bCs/>
          <w:sz w:val="28"/>
          <w:szCs w:val="28"/>
          <w:lang w:val="de-DE" w:eastAsia="zh-CN"/>
        </w:rPr>
        <w:t xml:space="preserve">, </w:t>
      </w:r>
      <w:r w:rsidRPr="00C61221">
        <w:rPr>
          <w:bCs/>
          <w:sz w:val="28"/>
          <w:szCs w:val="28"/>
          <w:lang w:val="de-DE" w:eastAsia="zh-CN"/>
        </w:rPr>
        <w:t>đề nghị bổ sung nội dung</w:t>
      </w:r>
      <w:r w:rsidRPr="00C61221">
        <w:rPr>
          <w:bCs/>
          <w:sz w:val="28"/>
          <w:szCs w:val="28"/>
          <w:lang w:val="vi-VN" w:eastAsia="zh-CN"/>
        </w:rPr>
        <w:t>:</w:t>
      </w:r>
      <w:r w:rsidR="008915A5">
        <w:rPr>
          <w:bCs/>
          <w:sz w:val="28"/>
          <w:szCs w:val="28"/>
          <w:lang w:val="de-DE" w:eastAsia="zh-CN"/>
        </w:rPr>
        <w:t xml:space="preserve"> </w:t>
      </w:r>
      <w:r w:rsidR="008915A5" w:rsidRPr="008915A5">
        <w:rPr>
          <w:bCs/>
          <w:sz w:val="28"/>
          <w:szCs w:val="28"/>
          <w:lang w:val="de-DE" w:eastAsia="zh-CN"/>
        </w:rPr>
        <w:t>“</w:t>
      </w:r>
      <w:r w:rsidR="008915A5" w:rsidRPr="00533A50">
        <w:rPr>
          <w:bCs/>
          <w:i/>
          <w:sz w:val="28"/>
          <w:szCs w:val="28"/>
          <w:lang w:val="de-DE" w:eastAsia="zh-CN"/>
        </w:rPr>
        <w:t>c</w:t>
      </w:r>
      <w:r w:rsidRPr="00533A50">
        <w:rPr>
          <w:bCs/>
          <w:i/>
          <w:sz w:val="28"/>
          <w:szCs w:val="28"/>
          <w:lang w:val="de-DE" w:eastAsia="zh-CN"/>
        </w:rPr>
        <w:t>ác thành viên thảo luận và thông qua Quy chế về quản lý tài chính của HTX, quy chế hoạt động của hội đồng quản trị</w:t>
      </w:r>
      <w:r w:rsidR="00533A50" w:rsidRPr="00533A50">
        <w:rPr>
          <w:bCs/>
          <w:sz w:val="28"/>
          <w:szCs w:val="28"/>
          <w:lang w:val="de-DE" w:eastAsia="zh-CN"/>
        </w:rPr>
        <w:t>”</w:t>
      </w:r>
      <w:r w:rsidRPr="00C61221">
        <w:rPr>
          <w:bCs/>
          <w:sz w:val="28"/>
          <w:szCs w:val="28"/>
          <w:lang w:val="de-DE" w:eastAsia="zh-CN"/>
        </w:rPr>
        <w:t>.</w:t>
      </w:r>
    </w:p>
    <w:p w:rsidR="004517D4" w:rsidRPr="00C61221" w:rsidRDefault="004517D4" w:rsidP="00C61221">
      <w:pPr>
        <w:spacing w:before="60" w:after="60"/>
        <w:ind w:right="51" w:firstLine="720"/>
        <w:jc w:val="both"/>
        <w:rPr>
          <w:b/>
          <w:sz w:val="28"/>
          <w:szCs w:val="28"/>
          <w:lang w:val="de-DE" w:eastAsia="zh-CN"/>
        </w:rPr>
      </w:pPr>
      <w:r w:rsidRPr="00C61221">
        <w:rPr>
          <w:b/>
          <w:sz w:val="28"/>
          <w:szCs w:val="28"/>
          <w:lang w:val="de-DE" w:eastAsia="zh-CN"/>
        </w:rPr>
        <w:t xml:space="preserve">(5) Điều 54. Điều kiện trở thành thành viên hội đồng quản trị, ban kiểm soát hoặc kiểm soát viên, giám đốc (tổng giám đốc) </w:t>
      </w:r>
      <w:r w:rsidR="00533A50">
        <w:rPr>
          <w:b/>
          <w:sz w:val="28"/>
          <w:szCs w:val="28"/>
          <w:lang w:val="de-DE" w:eastAsia="zh-CN"/>
        </w:rPr>
        <w:t>HTX</w:t>
      </w:r>
      <w:r w:rsidRPr="00C61221">
        <w:rPr>
          <w:b/>
          <w:sz w:val="28"/>
          <w:szCs w:val="28"/>
          <w:lang w:val="de-DE" w:eastAsia="zh-CN"/>
        </w:rPr>
        <w:t xml:space="preserve">, </w:t>
      </w:r>
      <w:r w:rsidR="00533A50">
        <w:rPr>
          <w:b/>
          <w:sz w:val="28"/>
          <w:szCs w:val="28"/>
          <w:lang w:val="de-DE" w:eastAsia="zh-CN"/>
        </w:rPr>
        <w:t>LHHTX</w:t>
      </w:r>
    </w:p>
    <w:p w:rsidR="004517D4" w:rsidRPr="00533A50" w:rsidRDefault="004517D4" w:rsidP="00C61221">
      <w:pPr>
        <w:spacing w:before="60" w:after="60"/>
        <w:ind w:right="51" w:firstLine="720"/>
        <w:jc w:val="both"/>
        <w:rPr>
          <w:spacing w:val="-2"/>
          <w:sz w:val="28"/>
          <w:szCs w:val="28"/>
          <w:lang w:eastAsia="zh-CN"/>
        </w:rPr>
      </w:pPr>
      <w:r w:rsidRPr="00C61221">
        <w:rPr>
          <w:sz w:val="28"/>
          <w:szCs w:val="28"/>
          <w:lang w:val="vi-VN" w:eastAsia="zh-CN"/>
        </w:rPr>
        <w:t xml:space="preserve">- </w:t>
      </w:r>
      <w:r w:rsidRPr="00533A50">
        <w:rPr>
          <w:spacing w:val="-2"/>
          <w:sz w:val="28"/>
          <w:szCs w:val="28"/>
          <w:lang w:val="de-DE" w:eastAsia="zh-CN"/>
        </w:rPr>
        <w:t xml:space="preserve">Đề nghị </w:t>
      </w:r>
      <w:r w:rsidR="00533A50">
        <w:rPr>
          <w:spacing w:val="-2"/>
          <w:sz w:val="28"/>
          <w:szCs w:val="28"/>
          <w:lang w:eastAsia="zh-CN"/>
        </w:rPr>
        <w:t>bổ sung</w:t>
      </w:r>
      <w:r w:rsidRPr="00533A50">
        <w:rPr>
          <w:spacing w:val="-2"/>
          <w:sz w:val="28"/>
          <w:szCs w:val="28"/>
          <w:lang w:val="de-DE" w:eastAsia="zh-CN"/>
        </w:rPr>
        <w:t>:</w:t>
      </w:r>
      <w:r w:rsidRPr="00533A50">
        <w:rPr>
          <w:b/>
          <w:spacing w:val="-2"/>
          <w:sz w:val="28"/>
          <w:szCs w:val="28"/>
          <w:lang w:val="vi-VN" w:eastAsia="zh-CN"/>
        </w:rPr>
        <w:t xml:space="preserve"> </w:t>
      </w:r>
      <w:r w:rsidRPr="00533A50">
        <w:rPr>
          <w:spacing w:val="-2"/>
          <w:sz w:val="28"/>
          <w:szCs w:val="28"/>
          <w:lang w:val="de-DE" w:eastAsia="zh-CN"/>
        </w:rPr>
        <w:t>“</w:t>
      </w:r>
      <w:r w:rsidRPr="00533A50">
        <w:rPr>
          <w:i/>
          <w:spacing w:val="-2"/>
          <w:sz w:val="28"/>
          <w:szCs w:val="28"/>
          <w:lang w:val="de-DE" w:eastAsia="zh-CN"/>
        </w:rPr>
        <w:t xml:space="preserve">Không đồng thời là thành viên ban kiểm soát hoặc kiểm soát viên, kế toán trưởng, thủ quỹ của cùng </w:t>
      </w:r>
      <w:r w:rsidR="00533A50" w:rsidRPr="00533A50">
        <w:rPr>
          <w:i/>
          <w:spacing w:val="-2"/>
          <w:sz w:val="28"/>
          <w:szCs w:val="28"/>
          <w:lang w:val="de-DE" w:eastAsia="zh-CN"/>
        </w:rPr>
        <w:t>HTX</w:t>
      </w:r>
      <w:r w:rsidRPr="00533A50">
        <w:rPr>
          <w:i/>
          <w:spacing w:val="-2"/>
          <w:sz w:val="28"/>
          <w:szCs w:val="28"/>
          <w:lang w:val="de-DE" w:eastAsia="zh-CN"/>
        </w:rPr>
        <w:t xml:space="preserve"> và không phải là cha, mẹ đẻ; cha, mẹ nuôi; vợ, chồng; con, con nuôi; </w:t>
      </w:r>
      <w:r w:rsidRPr="00533A50">
        <w:rPr>
          <w:b/>
          <w:i/>
          <w:spacing w:val="-2"/>
          <w:sz w:val="28"/>
          <w:szCs w:val="28"/>
          <w:lang w:val="de-DE" w:eastAsia="zh-CN"/>
        </w:rPr>
        <w:t>con dâu, con rể,</w:t>
      </w:r>
      <w:r w:rsidRPr="00533A50">
        <w:rPr>
          <w:i/>
          <w:spacing w:val="-2"/>
          <w:sz w:val="28"/>
          <w:szCs w:val="28"/>
          <w:lang w:val="de-DE" w:eastAsia="zh-CN"/>
        </w:rPr>
        <w:t xml:space="preserve"> anh, chị, em ruột của thành viên hội đồng quản trị, ban kiểm soát, kiểm soát viê</w:t>
      </w:r>
      <w:r w:rsidRPr="00533A50">
        <w:rPr>
          <w:i/>
          <w:spacing w:val="-2"/>
          <w:sz w:val="28"/>
          <w:szCs w:val="28"/>
          <w:lang w:val="vi-VN" w:eastAsia="zh-CN"/>
        </w:rPr>
        <w:t>n</w:t>
      </w:r>
      <w:r w:rsidRPr="00533A50">
        <w:rPr>
          <w:spacing w:val="-2"/>
          <w:sz w:val="28"/>
          <w:szCs w:val="28"/>
          <w:lang w:val="vi-VN" w:eastAsia="zh-CN"/>
        </w:rPr>
        <w:t>”</w:t>
      </w:r>
      <w:r w:rsidRPr="00533A50">
        <w:rPr>
          <w:spacing w:val="-2"/>
          <w:sz w:val="28"/>
          <w:szCs w:val="28"/>
          <w:lang w:eastAsia="zh-CN"/>
        </w:rPr>
        <w:t>.</w:t>
      </w:r>
    </w:p>
    <w:p w:rsidR="004517D4" w:rsidRPr="00C61221" w:rsidRDefault="004517D4" w:rsidP="00C61221">
      <w:pPr>
        <w:spacing w:before="60" w:after="60"/>
        <w:ind w:right="51" w:firstLine="720"/>
        <w:jc w:val="both"/>
        <w:rPr>
          <w:sz w:val="28"/>
          <w:szCs w:val="28"/>
          <w:lang w:val="vi-VN" w:eastAsia="zh-CN"/>
        </w:rPr>
      </w:pPr>
      <w:r w:rsidRPr="00C61221">
        <w:rPr>
          <w:sz w:val="28"/>
          <w:szCs w:val="28"/>
          <w:lang w:val="vi-VN" w:eastAsia="zh-CN"/>
        </w:rPr>
        <w:t xml:space="preserve">- Đề nghị bổ sung nội dung: </w:t>
      </w:r>
      <w:r w:rsidR="00533A50">
        <w:rPr>
          <w:sz w:val="28"/>
          <w:szCs w:val="28"/>
          <w:lang w:eastAsia="zh-CN"/>
        </w:rPr>
        <w:t>“</w:t>
      </w:r>
      <w:r w:rsidRPr="00C61221">
        <w:rPr>
          <w:sz w:val="28"/>
          <w:szCs w:val="28"/>
          <w:lang w:val="de-DE" w:eastAsia="zh-CN"/>
        </w:rPr>
        <w:t xml:space="preserve">Quy định trình độ </w:t>
      </w:r>
      <w:r w:rsidRPr="00C61221">
        <w:rPr>
          <w:sz w:val="28"/>
          <w:szCs w:val="28"/>
          <w:lang w:val="vi-VN" w:eastAsia="zh-CN"/>
        </w:rPr>
        <w:t>Hội đồng quản trị</w:t>
      </w:r>
      <w:r w:rsidRPr="00C61221">
        <w:rPr>
          <w:sz w:val="28"/>
          <w:szCs w:val="28"/>
          <w:lang w:val="de-DE" w:eastAsia="zh-CN"/>
        </w:rPr>
        <w:t xml:space="preserve">, </w:t>
      </w:r>
      <w:r w:rsidRPr="00C61221">
        <w:rPr>
          <w:sz w:val="28"/>
          <w:szCs w:val="28"/>
          <w:lang w:val="vi-VN" w:eastAsia="zh-CN"/>
        </w:rPr>
        <w:t>ban kiểm soát</w:t>
      </w:r>
      <w:r w:rsidRPr="00C61221">
        <w:rPr>
          <w:sz w:val="28"/>
          <w:szCs w:val="28"/>
          <w:lang w:val="de-DE" w:eastAsia="zh-CN"/>
        </w:rPr>
        <w:t xml:space="preserve"> hoặc kiểm soát viên, giám đốc (tổng giám đốc) </w:t>
      </w:r>
      <w:r w:rsidR="00533A50">
        <w:rPr>
          <w:sz w:val="28"/>
          <w:szCs w:val="28"/>
          <w:lang w:val="de-DE" w:eastAsia="zh-CN"/>
        </w:rPr>
        <w:t>HTX, LHHTX</w:t>
      </w:r>
      <w:r w:rsidR="00C663D6" w:rsidRPr="00C663D6">
        <w:rPr>
          <w:sz w:val="28"/>
          <w:szCs w:val="28"/>
          <w:lang w:val="de-DE" w:eastAsia="zh-CN"/>
        </w:rPr>
        <w:t>”</w:t>
      </w:r>
      <w:r w:rsidR="00C663D6">
        <w:rPr>
          <w:sz w:val="28"/>
          <w:szCs w:val="28"/>
          <w:lang w:val="de-DE" w:eastAsia="zh-CN"/>
        </w:rPr>
        <w:t>,</w:t>
      </w:r>
      <w:r w:rsidRPr="00C61221">
        <w:rPr>
          <w:sz w:val="28"/>
          <w:szCs w:val="28"/>
          <w:lang w:val="de-DE" w:eastAsia="zh-CN"/>
        </w:rPr>
        <w:t xml:space="preserve"> hiện nay trong Luật không có quy định.</w:t>
      </w:r>
    </w:p>
    <w:p w:rsidR="004517D4" w:rsidRPr="00C61221" w:rsidRDefault="004517D4" w:rsidP="00C61221">
      <w:pPr>
        <w:spacing w:before="60" w:after="60"/>
        <w:ind w:right="51" w:firstLine="720"/>
        <w:jc w:val="both"/>
        <w:rPr>
          <w:sz w:val="28"/>
          <w:szCs w:val="28"/>
          <w:lang w:eastAsia="zh-CN"/>
        </w:rPr>
      </w:pPr>
      <w:r w:rsidRPr="00C61221">
        <w:rPr>
          <w:b/>
          <w:bCs/>
          <w:sz w:val="28"/>
          <w:szCs w:val="28"/>
          <w:lang w:eastAsia="zh-CN"/>
        </w:rPr>
        <w:t>(5)</w:t>
      </w:r>
      <w:r w:rsidRPr="00C61221">
        <w:rPr>
          <w:b/>
          <w:bCs/>
          <w:sz w:val="28"/>
          <w:szCs w:val="28"/>
          <w:lang w:val="vi-VN" w:eastAsia="zh-CN"/>
        </w:rPr>
        <w:t xml:space="preserve"> Bộ câu hỏi khảo sát định hướng sửa đổi Luật HTX năm 2012</w:t>
      </w:r>
      <w:r w:rsidRPr="00C61221">
        <w:rPr>
          <w:b/>
          <w:bCs/>
          <w:sz w:val="28"/>
          <w:szCs w:val="28"/>
          <w:lang w:eastAsia="zh-CN"/>
        </w:rPr>
        <w:t xml:space="preserve">: </w:t>
      </w:r>
      <w:r w:rsidRPr="00C61221">
        <w:rPr>
          <w:bCs/>
          <w:sz w:val="28"/>
          <w:szCs w:val="28"/>
          <w:lang w:val="vi-VN" w:eastAsia="zh-CN"/>
        </w:rPr>
        <w:t xml:space="preserve">Tại số thứ tự số 31 về phân loại thành viên HTX, </w:t>
      </w:r>
      <w:r w:rsidR="00C663D6">
        <w:rPr>
          <w:bCs/>
          <w:sz w:val="28"/>
          <w:szCs w:val="28"/>
          <w:lang w:eastAsia="zh-CN"/>
        </w:rPr>
        <w:t>LH</w:t>
      </w:r>
      <w:r w:rsidRPr="00C61221">
        <w:rPr>
          <w:bCs/>
          <w:sz w:val="28"/>
          <w:szCs w:val="28"/>
          <w:lang w:val="vi-VN" w:eastAsia="zh-CN"/>
        </w:rPr>
        <w:t>HTX, đ</w:t>
      </w:r>
      <w:r w:rsidRPr="00C61221">
        <w:rPr>
          <w:sz w:val="28"/>
          <w:szCs w:val="28"/>
          <w:lang w:val="vi-VN" w:eastAsia="zh-CN"/>
        </w:rPr>
        <w:t xml:space="preserve">ề nghị </w:t>
      </w:r>
      <w:r w:rsidRPr="00C61221">
        <w:rPr>
          <w:sz w:val="28"/>
          <w:szCs w:val="28"/>
          <w:lang w:eastAsia="zh-CN"/>
        </w:rPr>
        <w:t xml:space="preserve">xem lại </w:t>
      </w:r>
      <w:r w:rsidRPr="00C61221">
        <w:rPr>
          <w:sz w:val="28"/>
          <w:szCs w:val="28"/>
          <w:lang w:val="vi-VN" w:eastAsia="zh-CN"/>
        </w:rPr>
        <w:t xml:space="preserve">thống nhất số lượng phân loại thành viên với Đề cương </w:t>
      </w:r>
      <w:r w:rsidRPr="00C61221">
        <w:rPr>
          <w:sz w:val="28"/>
          <w:szCs w:val="28"/>
          <w:lang w:val="zu-ZA" w:eastAsia="zh-CN"/>
        </w:rPr>
        <w:t xml:space="preserve">chi tiết Dự thảo Luật </w:t>
      </w:r>
      <w:r w:rsidR="00C663D6">
        <w:rPr>
          <w:sz w:val="28"/>
          <w:szCs w:val="28"/>
          <w:lang w:val="zu-ZA" w:eastAsia="zh-CN"/>
        </w:rPr>
        <w:t xml:space="preserve">HTX </w:t>
      </w:r>
      <w:r w:rsidRPr="00C61221">
        <w:rPr>
          <w:sz w:val="28"/>
          <w:szCs w:val="28"/>
          <w:lang w:val="zu-ZA" w:eastAsia="zh-CN"/>
        </w:rPr>
        <w:t>(sửa đổi)</w:t>
      </w:r>
      <w:r w:rsidRPr="00C61221">
        <w:rPr>
          <w:sz w:val="28"/>
          <w:szCs w:val="28"/>
          <w:lang w:val="vi-VN" w:eastAsia="zh-CN"/>
        </w:rPr>
        <w:t>.</w:t>
      </w:r>
    </w:p>
    <w:p w:rsidR="004517D4" w:rsidRPr="00C61221" w:rsidRDefault="004517D4" w:rsidP="00C61221">
      <w:pPr>
        <w:spacing w:before="60" w:after="60"/>
        <w:ind w:right="51" w:firstLine="720"/>
        <w:jc w:val="both"/>
        <w:rPr>
          <w:sz w:val="28"/>
          <w:szCs w:val="28"/>
          <w:lang w:eastAsia="zh-CN"/>
        </w:rPr>
      </w:pPr>
      <w:r w:rsidRPr="00C61221">
        <w:rPr>
          <w:b/>
          <w:sz w:val="28"/>
          <w:szCs w:val="28"/>
          <w:lang w:eastAsia="zh-CN"/>
        </w:rPr>
        <w:t>(6)</w:t>
      </w:r>
      <w:r w:rsidRPr="00C61221">
        <w:rPr>
          <w:sz w:val="28"/>
          <w:szCs w:val="28"/>
          <w:lang w:eastAsia="zh-CN"/>
        </w:rPr>
        <w:t xml:space="preserve"> </w:t>
      </w:r>
      <w:r w:rsidRPr="00C61221">
        <w:rPr>
          <w:b/>
          <w:sz w:val="28"/>
          <w:szCs w:val="28"/>
          <w:lang w:eastAsia="zh-CN"/>
        </w:rPr>
        <w:t>Ý kiến một số nội dung cụ thể:</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Giữ nguyên tên Luật </w:t>
      </w:r>
      <w:r w:rsidR="00C663D6">
        <w:rPr>
          <w:sz w:val="28"/>
          <w:szCs w:val="28"/>
          <w:lang w:eastAsia="zh-CN"/>
        </w:rPr>
        <w:t>HTX</w:t>
      </w:r>
      <w:r w:rsidRPr="00C61221">
        <w:rPr>
          <w:sz w:val="28"/>
          <w:szCs w:val="28"/>
          <w:lang w:eastAsia="zh-CN"/>
        </w:rPr>
        <w:t xml:space="preserve"> để gần gũi, dễ tiếp cận.</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Về việc đưa "liên đoàn </w:t>
      </w:r>
      <w:r w:rsidR="00C663D6">
        <w:rPr>
          <w:sz w:val="28"/>
          <w:szCs w:val="28"/>
          <w:lang w:eastAsia="zh-CN"/>
        </w:rPr>
        <w:t>HTX</w:t>
      </w:r>
      <w:r w:rsidRPr="00C61221">
        <w:rPr>
          <w:sz w:val="28"/>
          <w:szCs w:val="28"/>
          <w:lang w:eastAsia="zh-CN"/>
        </w:rPr>
        <w:t xml:space="preserve"> và liên minh </w:t>
      </w:r>
      <w:r w:rsidR="00C663D6">
        <w:rPr>
          <w:sz w:val="28"/>
          <w:szCs w:val="28"/>
          <w:lang w:eastAsia="zh-CN"/>
        </w:rPr>
        <w:t>HTX</w:t>
      </w:r>
      <w:r w:rsidRPr="00C61221">
        <w:rPr>
          <w:sz w:val="28"/>
          <w:szCs w:val="28"/>
          <w:lang w:eastAsia="zh-CN"/>
        </w:rPr>
        <w:t xml:space="preserve">" vào phạm vi điều chỉnh và đối tượng áp dụng của Luật: </w:t>
      </w:r>
      <w:r w:rsidR="00C663D6">
        <w:rPr>
          <w:sz w:val="28"/>
          <w:szCs w:val="28"/>
          <w:lang w:eastAsia="zh-CN"/>
        </w:rPr>
        <w:t>đ</w:t>
      </w:r>
      <w:r w:rsidRPr="00C61221">
        <w:rPr>
          <w:sz w:val="28"/>
          <w:szCs w:val="28"/>
          <w:lang w:eastAsia="zh-CN"/>
        </w:rPr>
        <w:t xml:space="preserve">ề nghị xem xét lại. </w:t>
      </w:r>
      <w:r w:rsidRPr="00C61221">
        <w:rPr>
          <w:i/>
          <w:sz w:val="28"/>
          <w:szCs w:val="28"/>
          <w:lang w:eastAsia="zh-CN"/>
        </w:rPr>
        <w:t>Lý do:</w:t>
      </w:r>
      <w:r w:rsidRPr="00C61221">
        <w:rPr>
          <w:sz w:val="28"/>
          <w:szCs w:val="28"/>
          <w:lang w:eastAsia="zh-CN"/>
        </w:rPr>
        <w:t xml:space="preserve"> </w:t>
      </w:r>
      <w:r w:rsidR="00C663D6">
        <w:rPr>
          <w:sz w:val="28"/>
          <w:szCs w:val="28"/>
          <w:lang w:eastAsia="zh-CN"/>
        </w:rPr>
        <w:t>h</w:t>
      </w:r>
      <w:r w:rsidRPr="00C61221">
        <w:rPr>
          <w:sz w:val="28"/>
          <w:szCs w:val="28"/>
          <w:lang w:eastAsia="zh-CN"/>
        </w:rPr>
        <w:t xml:space="preserve">iện nay chưa rõ mô hình tổ chức và nội dung hoạt động của liên đoàn hợp tác xã. Đối với liên minh </w:t>
      </w:r>
      <w:r w:rsidR="00C663D6">
        <w:rPr>
          <w:sz w:val="28"/>
          <w:szCs w:val="28"/>
          <w:lang w:eastAsia="zh-CN"/>
        </w:rPr>
        <w:t>HTX</w:t>
      </w:r>
      <w:r w:rsidRPr="00C61221">
        <w:rPr>
          <w:sz w:val="28"/>
          <w:szCs w:val="28"/>
          <w:lang w:eastAsia="zh-CN"/>
        </w:rPr>
        <w:t xml:space="preserve"> là tổ chức đại diện của các tổ chức </w:t>
      </w:r>
      <w:r w:rsidR="00C663D6">
        <w:rPr>
          <w:sz w:val="28"/>
          <w:szCs w:val="28"/>
          <w:lang w:eastAsia="zh-CN"/>
        </w:rPr>
        <w:t>KTHT</w:t>
      </w:r>
      <w:r w:rsidRPr="00C61221">
        <w:rPr>
          <w:sz w:val="28"/>
          <w:szCs w:val="28"/>
          <w:lang w:eastAsia="zh-CN"/>
        </w:rPr>
        <w:t xml:space="preserve">, không phải là tổ chức </w:t>
      </w:r>
      <w:r w:rsidR="00C663D6">
        <w:rPr>
          <w:sz w:val="28"/>
          <w:szCs w:val="28"/>
          <w:lang w:eastAsia="zh-CN"/>
        </w:rPr>
        <w:t>KTHT</w:t>
      </w:r>
      <w:r w:rsidRPr="00C61221">
        <w:rPr>
          <w:sz w:val="28"/>
          <w:szCs w:val="28"/>
          <w:lang w:eastAsia="zh-CN"/>
        </w:rPr>
        <w:t xml:space="preserve">. Chức năng đại diện được quy định trong Luật HTX còn tổ chức và hoạt động của liên minh HTX được thực hiện theo chủ trương của Đảng và quy định của Chính Phủ về tổ chức hội. </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Thống nhất đề nghị mở rộng đối tượng tham gia thành viên HTX để thu hút nguồn lực (nhân lực, vốn) để phát triển HTX. Tuy nhiên, đề nghị xem xét bổ sung quy định về việc công chức, viên chức tham gia là thành viên HTX. </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Đề nghị chỉ sử dụng một khái niệm tổ chức </w:t>
      </w:r>
      <w:r w:rsidR="00C663D6">
        <w:rPr>
          <w:sz w:val="28"/>
          <w:szCs w:val="28"/>
          <w:lang w:eastAsia="zh-CN"/>
        </w:rPr>
        <w:t>KTHT</w:t>
      </w:r>
      <w:r w:rsidRPr="00C61221">
        <w:rPr>
          <w:sz w:val="28"/>
          <w:szCs w:val="28"/>
          <w:lang w:eastAsia="zh-CN"/>
        </w:rPr>
        <w:t xml:space="preserve"> hoặc tổ chức </w:t>
      </w:r>
      <w:r w:rsidR="00C663D6">
        <w:rPr>
          <w:sz w:val="28"/>
          <w:szCs w:val="28"/>
          <w:lang w:eastAsia="zh-CN"/>
        </w:rPr>
        <w:t>KTTT</w:t>
      </w:r>
      <w:r w:rsidRPr="00C61221">
        <w:rPr>
          <w:sz w:val="28"/>
          <w:szCs w:val="28"/>
          <w:lang w:eastAsia="zh-CN"/>
        </w:rPr>
        <w:t xml:space="preserve"> (gồm: </w:t>
      </w:r>
      <w:r w:rsidR="00C663D6">
        <w:rPr>
          <w:sz w:val="28"/>
          <w:szCs w:val="28"/>
          <w:lang w:eastAsia="zh-CN"/>
        </w:rPr>
        <w:t>THT</w:t>
      </w:r>
      <w:r w:rsidRPr="00C61221">
        <w:rPr>
          <w:sz w:val="28"/>
          <w:szCs w:val="28"/>
          <w:lang w:eastAsia="zh-CN"/>
        </w:rPr>
        <w:t xml:space="preserve">, HTX, LHHTX…). Về </w:t>
      </w:r>
      <w:r w:rsidR="00C663D6">
        <w:rPr>
          <w:sz w:val="28"/>
          <w:szCs w:val="28"/>
          <w:lang w:eastAsia="zh-CN"/>
        </w:rPr>
        <w:t>LH</w:t>
      </w:r>
      <w:r w:rsidRPr="00C61221">
        <w:rPr>
          <w:sz w:val="28"/>
          <w:szCs w:val="28"/>
          <w:lang w:eastAsia="zh-CN"/>
        </w:rPr>
        <w:t xml:space="preserve">HTX và tổ chức Liên minh HTX cần làm rõ hai khái niệm. Và Liên minh HTX không phải là tổ chức </w:t>
      </w:r>
      <w:r w:rsidR="00C663D6">
        <w:rPr>
          <w:sz w:val="28"/>
          <w:szCs w:val="28"/>
          <w:lang w:eastAsia="zh-CN"/>
        </w:rPr>
        <w:t>KTHT</w:t>
      </w:r>
      <w:r w:rsidRPr="00C61221">
        <w:rPr>
          <w:sz w:val="28"/>
          <w:szCs w:val="28"/>
          <w:lang w:eastAsia="zh-CN"/>
        </w:rPr>
        <w:t xml:space="preserve"> như HTX.</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Để khuyến khích góp vốn thành lập HTX và HTX huy động vốn góp từ thành viên, đề nghị:</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w:t>
      </w:r>
      <w:r w:rsidRPr="00C663D6">
        <w:rPr>
          <w:spacing w:val="-6"/>
          <w:sz w:val="28"/>
          <w:szCs w:val="28"/>
          <w:lang w:eastAsia="zh-CN"/>
        </w:rPr>
        <w:t>Tăng mức góp vốn tối đa cao hơn Luật HTX 2012 đồng thời quy định việc trả lại vốn góp được thực hiện nhiều lần để tránh ảnh hưởng đến hoạt động kinh doanh của HTX (thời gian trả và mức trả hàng năm cụ thể do điều lệ HTX quy định). Đồng thời</w:t>
      </w:r>
      <w:r w:rsidR="00C663D6" w:rsidRPr="00C663D6">
        <w:rPr>
          <w:spacing w:val="-6"/>
          <w:sz w:val="28"/>
          <w:szCs w:val="28"/>
          <w:lang w:eastAsia="zh-CN"/>
        </w:rPr>
        <w:t>,</w:t>
      </w:r>
      <w:r w:rsidRPr="00C663D6">
        <w:rPr>
          <w:spacing w:val="-6"/>
          <w:sz w:val="28"/>
          <w:szCs w:val="28"/>
          <w:lang w:eastAsia="zh-CN"/>
        </w:rPr>
        <w:t xml:space="preserve"> bổ sung quy định về mức vốn góp tối thiểu khi tham gia HTX.</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Quy định rõ trong Luật về khoản vốn góp của thành viên HTX là nhằm hỗ trợ nhau phát triển kinh tế không phải vì mục đích chính là thu lợi nhuận do đó không phải là khoản đầu tư tài chính do đó thu nhập từ vốn góp </w:t>
      </w:r>
      <w:r w:rsidRPr="00C663D6">
        <w:rPr>
          <w:sz w:val="28"/>
          <w:szCs w:val="28"/>
          <w:lang w:eastAsia="zh-CN"/>
        </w:rPr>
        <w:t xml:space="preserve">không phải chịu thuế thu nhập cá nhân. </w:t>
      </w:r>
      <w:r w:rsidRPr="00C61221">
        <w:rPr>
          <w:sz w:val="28"/>
          <w:szCs w:val="28"/>
          <w:lang w:eastAsia="zh-CN"/>
        </w:rPr>
        <w:t xml:space="preserve">Hiện nay do không quy định nên thu nhập từ vốn góp phải chịu thuế thu nhập cá nhân nên không khuyến khích thành viên góp vốn thành lập HTX, HTX khó huy động thêm vốn góp từ thành viên.  </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Về phân phối thu nhập:</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Luật HTX năm 2012 quy định về phân phối thu nhập: </w:t>
      </w:r>
      <w:r w:rsidRPr="00C61221">
        <w:rPr>
          <w:i/>
          <w:sz w:val="28"/>
          <w:szCs w:val="28"/>
          <w:lang w:eastAsia="zh-CN"/>
        </w:rPr>
        <w:t>“</w:t>
      </w:r>
      <w:r w:rsidRPr="00C61221">
        <w:rPr>
          <w:b/>
          <w:i/>
          <w:sz w:val="28"/>
          <w:szCs w:val="28"/>
          <w:lang w:eastAsia="zh-CN"/>
        </w:rPr>
        <w:t>Chủ yếu</w:t>
      </w:r>
      <w:r w:rsidRPr="00C61221">
        <w:rPr>
          <w:i/>
          <w:sz w:val="28"/>
          <w:szCs w:val="28"/>
          <w:lang w:eastAsia="zh-CN"/>
        </w:rPr>
        <w:t xml:space="preserve"> theo mức độ sử dụng sản phẩm, dịch vụ của thành viên…”</w:t>
      </w:r>
      <w:r w:rsidRPr="00C61221">
        <w:rPr>
          <w:sz w:val="28"/>
          <w:szCs w:val="28"/>
          <w:lang w:eastAsia="zh-CN"/>
        </w:rPr>
        <w:t xml:space="preserve"> thực tế rất khó thực hiện vì không cụ thể, tính toán phức tạp trong khi trình độ cán bộ quản lý còn thấp và như vậy sẽ không khuyết khích góp vốn nhiều để xây dựng HTX do đó thống nhất đề nghị bỏ từ “chủ yếu” và việc phân phối do Điều lệ HTX quy định.</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w:t>
      </w:r>
      <w:r w:rsidR="005B07EA">
        <w:rPr>
          <w:sz w:val="28"/>
          <w:szCs w:val="28"/>
          <w:lang w:eastAsia="zh-CN"/>
        </w:rPr>
        <w:t>Điểm</w:t>
      </w:r>
      <w:r w:rsidRPr="00C61221">
        <w:rPr>
          <w:sz w:val="28"/>
          <w:szCs w:val="28"/>
          <w:lang w:eastAsia="zh-CN"/>
        </w:rPr>
        <w:t xml:space="preserve"> c </w:t>
      </w:r>
      <w:r w:rsidR="005B07EA">
        <w:rPr>
          <w:sz w:val="28"/>
          <w:szCs w:val="28"/>
          <w:lang w:eastAsia="zh-CN"/>
        </w:rPr>
        <w:t>K</w:t>
      </w:r>
      <w:r w:rsidRPr="00C61221">
        <w:rPr>
          <w:sz w:val="28"/>
          <w:szCs w:val="28"/>
          <w:lang w:eastAsia="zh-CN"/>
        </w:rPr>
        <w:t xml:space="preserve">hoản 2 Điều 48 Luật HTX năm 2012 về tài sản không chia quy định: </w:t>
      </w:r>
      <w:r w:rsidRPr="00C61221">
        <w:rPr>
          <w:i/>
          <w:sz w:val="28"/>
          <w:szCs w:val="28"/>
          <w:lang w:eastAsia="zh-CN"/>
        </w:rPr>
        <w:t>“Phần trích lại từ quỹ đầu tư phát triển hằng năm được đại hội thành viên quyết định đưa vào tài sản không chia”</w:t>
      </w:r>
      <w:r w:rsidRPr="00C61221">
        <w:rPr>
          <w:sz w:val="28"/>
          <w:szCs w:val="28"/>
          <w:lang w:eastAsia="zh-CN"/>
        </w:rPr>
        <w:t xml:space="preserve">trong thực tế rất khó thực hiện vì không cụ thể; do đó cần quy định cụ thể phần trích lại là bao nhiêu % hoặc bổ sung tỷ lệ % trích </w:t>
      </w:r>
      <w:r w:rsidRPr="00C61221">
        <w:rPr>
          <w:i/>
          <w:sz w:val="28"/>
          <w:szCs w:val="28"/>
          <w:lang w:eastAsia="zh-CN"/>
        </w:rPr>
        <w:t>“quỹ không chia”</w:t>
      </w:r>
      <w:r w:rsidRPr="00C61221">
        <w:rPr>
          <w:sz w:val="28"/>
          <w:szCs w:val="28"/>
          <w:lang w:eastAsia="zh-CN"/>
        </w:rPr>
        <w:t>và quy định rõ mục đích sử dụng của hai loại quỹ này</w:t>
      </w:r>
      <w:r w:rsidRPr="00C61221">
        <w:rPr>
          <w:i/>
          <w:sz w:val="28"/>
          <w:szCs w:val="28"/>
          <w:lang w:eastAsia="zh-CN"/>
        </w:rPr>
        <w:t>.</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Về tổ chức bộ máy HTX: </w:t>
      </w:r>
      <w:r w:rsidR="005B07EA">
        <w:rPr>
          <w:sz w:val="28"/>
          <w:szCs w:val="28"/>
          <w:lang w:eastAsia="zh-CN"/>
        </w:rPr>
        <w:t>đ</w:t>
      </w:r>
      <w:r w:rsidRPr="00C61221">
        <w:rPr>
          <w:sz w:val="28"/>
          <w:szCs w:val="28"/>
          <w:lang w:eastAsia="zh-CN"/>
        </w:rPr>
        <w:t xml:space="preserve">ề nghị bổ sung khái niệm đại hội nhiệm kỳ  (Đại hội thành viên gồm đại hội thường niên, </w:t>
      </w:r>
      <w:r w:rsidRPr="00C61221">
        <w:rPr>
          <w:i/>
          <w:sz w:val="28"/>
          <w:szCs w:val="28"/>
          <w:lang w:eastAsia="zh-CN"/>
        </w:rPr>
        <w:t>đại hội nhiệm kỳ</w:t>
      </w:r>
      <w:r w:rsidRPr="00C61221">
        <w:rPr>
          <w:sz w:val="28"/>
          <w:szCs w:val="28"/>
          <w:lang w:eastAsia="zh-CN"/>
        </w:rPr>
        <w:t xml:space="preserve"> và đại hội bất thường).</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xml:space="preserve">- Cần có quy định Chủ tịch HĐQT, GĐ HTX không được đồng thời là Chủ tịch HĐQT, GĐ HTX khác; hiện nay thực tế có diễn ra do chưa có quy định cụ thể. </w:t>
      </w:r>
    </w:p>
    <w:p w:rsidR="004517D4" w:rsidRPr="00C61221" w:rsidRDefault="004517D4" w:rsidP="00C61221">
      <w:pPr>
        <w:spacing w:before="60" w:after="60"/>
        <w:ind w:right="51" w:firstLine="720"/>
        <w:jc w:val="both"/>
        <w:rPr>
          <w:sz w:val="28"/>
          <w:szCs w:val="28"/>
          <w:lang w:eastAsia="zh-CN"/>
        </w:rPr>
      </w:pPr>
      <w:r w:rsidRPr="00C61221">
        <w:rPr>
          <w:sz w:val="28"/>
          <w:szCs w:val="28"/>
          <w:lang w:eastAsia="zh-CN"/>
        </w:rPr>
        <w:t>- Cần bổ sung quy định về tiêu chuẩn thành viên HĐQT, ban kiểm soát, GĐ HTX để nâng cao dần chất lượng cán bộ quản lý HTX.</w:t>
      </w:r>
    </w:p>
    <w:p w:rsidR="004517D4" w:rsidRPr="00C61221" w:rsidRDefault="005B07EA" w:rsidP="00C61221">
      <w:pPr>
        <w:spacing w:before="60" w:after="60"/>
        <w:ind w:right="51" w:firstLine="720"/>
        <w:jc w:val="both"/>
        <w:rPr>
          <w:sz w:val="28"/>
          <w:szCs w:val="28"/>
          <w:lang w:val="pt-BR" w:eastAsia="zh-CN"/>
        </w:rPr>
      </w:pPr>
      <w:r>
        <w:rPr>
          <w:sz w:val="28"/>
          <w:szCs w:val="28"/>
          <w:lang w:val="pt-BR" w:eastAsia="zh-CN"/>
        </w:rPr>
        <w:t>-</w:t>
      </w:r>
      <w:r w:rsidR="004517D4" w:rsidRPr="00C61221">
        <w:rPr>
          <w:sz w:val="28"/>
          <w:szCs w:val="28"/>
          <w:lang w:val="pt-BR" w:eastAsia="zh-CN"/>
        </w:rPr>
        <w:t xml:space="preserve"> Về Điều lệ HTX: </w:t>
      </w:r>
      <w:r>
        <w:rPr>
          <w:sz w:val="28"/>
          <w:szCs w:val="28"/>
          <w:lang w:val="pt-BR" w:eastAsia="zh-CN"/>
        </w:rPr>
        <w:t>t</w:t>
      </w:r>
      <w:r w:rsidR="004517D4" w:rsidRPr="00C61221">
        <w:rPr>
          <w:sz w:val="28"/>
          <w:szCs w:val="28"/>
          <w:lang w:val="pt-BR" w:eastAsia="zh-CN"/>
        </w:rPr>
        <w:t>hống nhất đề nghị sửa đổi Điều 21 của Luật HTX năm 2012 về nội dung điều lệ HTX theo hướng chỉ quy định những nội dung quan trọng nhất; các nội dung khác do từng HTX, LHHTX quyết định (kiến nghị giao Chính phủ ban hành điều lệ mẫu cho từng loại hình HTX).</w:t>
      </w:r>
    </w:p>
    <w:p w:rsidR="004517D4" w:rsidRPr="00C61221" w:rsidRDefault="005B07EA" w:rsidP="00C61221">
      <w:pPr>
        <w:spacing w:before="60" w:after="60"/>
        <w:ind w:right="51" w:firstLine="720"/>
        <w:jc w:val="both"/>
        <w:rPr>
          <w:sz w:val="28"/>
          <w:szCs w:val="28"/>
          <w:lang w:eastAsia="zh-CN"/>
        </w:rPr>
      </w:pPr>
      <w:r>
        <w:rPr>
          <w:sz w:val="28"/>
          <w:szCs w:val="28"/>
          <w:lang w:eastAsia="zh-CN"/>
        </w:rPr>
        <w:t>- Về công tác quản lý nhà nước: đ</w:t>
      </w:r>
      <w:r w:rsidR="004517D4" w:rsidRPr="00C61221">
        <w:rPr>
          <w:sz w:val="28"/>
          <w:szCs w:val="28"/>
          <w:lang w:eastAsia="zh-CN"/>
        </w:rPr>
        <w:t>ề nghị quy định cụ thể hơn đối với công tác thanh tra, kiểm tra (quy định rõ thẩm quyền, nội dung thanh tra, kiểm tra).</w:t>
      </w:r>
    </w:p>
    <w:p w:rsidR="004517D4" w:rsidRPr="00C61221" w:rsidRDefault="004517D4" w:rsidP="00C61221">
      <w:pPr>
        <w:spacing w:before="60" w:after="60"/>
        <w:ind w:right="51" w:firstLine="720"/>
        <w:jc w:val="both"/>
        <w:rPr>
          <w:b/>
          <w:bCs/>
          <w:sz w:val="28"/>
          <w:szCs w:val="28"/>
          <w:lang w:eastAsia="zh-CN"/>
        </w:rPr>
      </w:pPr>
      <w:r w:rsidRPr="00C61221">
        <w:rPr>
          <w:b/>
          <w:bCs/>
          <w:sz w:val="28"/>
          <w:szCs w:val="28"/>
          <w:lang w:val="vi-VN" w:eastAsia="zh-CN"/>
        </w:rPr>
        <w:t>III. KIẾN NGHỊ SỬA ĐỔI, BỔ SUNG CÁC VĂN BẢN QUY PHẠM PHÁP LUẬT KHÁC CÓ LIÊN QUAN</w:t>
      </w:r>
    </w:p>
    <w:p w:rsidR="004517D4" w:rsidRPr="00C61221" w:rsidRDefault="004517D4" w:rsidP="00C61221">
      <w:pPr>
        <w:spacing w:before="60" w:after="60"/>
        <w:ind w:right="51" w:firstLine="720"/>
        <w:jc w:val="both"/>
        <w:rPr>
          <w:bCs/>
          <w:sz w:val="28"/>
          <w:szCs w:val="28"/>
          <w:lang w:eastAsia="zh-CN"/>
        </w:rPr>
      </w:pPr>
      <w:r w:rsidRPr="00C61221">
        <w:rPr>
          <w:bCs/>
          <w:sz w:val="28"/>
          <w:szCs w:val="28"/>
          <w:lang w:eastAsia="zh-CN"/>
        </w:rPr>
        <w:t xml:space="preserve">- </w:t>
      </w:r>
      <w:r w:rsidR="00015662">
        <w:rPr>
          <w:bCs/>
          <w:sz w:val="28"/>
          <w:szCs w:val="28"/>
          <w:lang w:eastAsia="zh-CN"/>
        </w:rPr>
        <w:t>Uỷ</w:t>
      </w:r>
      <w:r w:rsidRPr="00C61221">
        <w:rPr>
          <w:bCs/>
          <w:sz w:val="28"/>
          <w:szCs w:val="28"/>
          <w:lang w:eastAsia="zh-CN"/>
        </w:rPr>
        <w:t xml:space="preserve"> ban Thường vụ Quốc hội xem xét ban hành Luật riêng về </w:t>
      </w:r>
      <w:r w:rsidR="005B07EA">
        <w:rPr>
          <w:bCs/>
          <w:sz w:val="28"/>
          <w:szCs w:val="28"/>
          <w:lang w:eastAsia="zh-CN"/>
        </w:rPr>
        <w:t>HTXNN</w:t>
      </w:r>
      <w:r w:rsidRPr="00C61221">
        <w:rPr>
          <w:bCs/>
          <w:sz w:val="28"/>
          <w:szCs w:val="28"/>
          <w:lang w:eastAsia="zh-CN"/>
        </w:rPr>
        <w:t xml:space="preserve"> (Luật </w:t>
      </w:r>
      <w:r w:rsidR="005B07EA">
        <w:rPr>
          <w:bCs/>
          <w:sz w:val="28"/>
          <w:szCs w:val="28"/>
          <w:lang w:eastAsia="zh-CN"/>
        </w:rPr>
        <w:t>HTXNN</w:t>
      </w:r>
      <w:r w:rsidRPr="00C61221">
        <w:rPr>
          <w:bCs/>
          <w:sz w:val="28"/>
          <w:szCs w:val="28"/>
          <w:lang w:eastAsia="zh-CN"/>
        </w:rPr>
        <w:t>)</w:t>
      </w:r>
      <w:r w:rsidR="004D0B87">
        <w:rPr>
          <w:bCs/>
          <w:sz w:val="28"/>
          <w:szCs w:val="28"/>
          <w:lang w:eastAsia="zh-CN"/>
        </w:rPr>
        <w:t>; s</w:t>
      </w:r>
      <w:r w:rsidR="004D0B87" w:rsidRPr="004D0B87">
        <w:rPr>
          <w:bCs/>
          <w:sz w:val="28"/>
          <w:szCs w:val="28"/>
          <w:lang w:eastAsia="zh-CN"/>
        </w:rPr>
        <w:t>ớm xem xét, rà soát, sửa đổi Luật Đất đai năm 2013 và các văn bản quy định chi tiết thi hành. Thay đổi tư duy và cách tiếp cận việc quy hoạch sử dụng đất; thực hiện quy hoạch sử dụng đất theo vùng kinh tế, hạn chế quy hoạch theo địa giới hành chính để từng bước phù hợp với xu hướng toàn cầu hóa và hội nhập kinh tế quốc tế. Chú trọng triển khai thực hiện quy hoạch và khai thác, sử dụng diện tích bên cạnh các công trình hạ tầng giao thông để khai thác nguồn lực từ đất; có chính sách phân bổ đất hợp lý, sử dụng đất đúng mục đích, tiết kiệm và có hiệu quả cao</w:t>
      </w:r>
      <w:r w:rsidR="004D0B87">
        <w:rPr>
          <w:bCs/>
          <w:sz w:val="28"/>
          <w:szCs w:val="28"/>
          <w:lang w:eastAsia="zh-CN"/>
        </w:rPr>
        <w:t xml:space="preserve">. </w:t>
      </w:r>
    </w:p>
    <w:p w:rsidR="004517D4" w:rsidRPr="00C61221" w:rsidRDefault="004517D4" w:rsidP="00C61221">
      <w:pPr>
        <w:spacing w:before="60" w:after="60"/>
        <w:ind w:right="51" w:firstLine="720"/>
        <w:jc w:val="both"/>
        <w:rPr>
          <w:bCs/>
          <w:sz w:val="28"/>
          <w:szCs w:val="28"/>
          <w:lang w:eastAsia="zh-CN"/>
        </w:rPr>
      </w:pPr>
      <w:r w:rsidRPr="00C61221">
        <w:rPr>
          <w:bCs/>
          <w:sz w:val="28"/>
          <w:szCs w:val="28"/>
          <w:lang w:eastAsia="zh-CN"/>
        </w:rPr>
        <w:t xml:space="preserve">- </w:t>
      </w:r>
      <w:r w:rsidR="0023218D" w:rsidRPr="0023218D">
        <w:rPr>
          <w:bCs/>
          <w:sz w:val="28"/>
          <w:szCs w:val="28"/>
          <w:lang w:eastAsia="zh-CN"/>
        </w:rPr>
        <w:t xml:space="preserve">Bộ Tài nguyên và Môi trường nghiên cứu cơ chế, chính sách cụ thể, khả thi hơn để các HTX được hỗ trợ về đất và cấp giấy chứng nhận quyền sử dụng đất, đặc biệt là các HTX trong lĩnh vực nông nghiệp. </w:t>
      </w:r>
    </w:p>
    <w:p w:rsidR="004517D4" w:rsidRPr="00C61221" w:rsidRDefault="004517D4" w:rsidP="00C61221">
      <w:pPr>
        <w:spacing w:before="60" w:after="60"/>
        <w:ind w:right="51" w:firstLine="720"/>
        <w:jc w:val="both"/>
        <w:rPr>
          <w:bCs/>
          <w:sz w:val="28"/>
          <w:szCs w:val="28"/>
          <w:lang w:eastAsia="zh-CN"/>
        </w:rPr>
      </w:pPr>
      <w:r w:rsidRPr="00C61221">
        <w:rPr>
          <w:bCs/>
          <w:sz w:val="28"/>
          <w:szCs w:val="28"/>
          <w:lang w:eastAsia="zh-CN"/>
        </w:rPr>
        <w:t>- Các Bộ, ngành ban hành đồng bộ, đầy đủ các văn bản hướng dẫn chính sách hỗ trợ, ưu đãi đối mới HTX</w:t>
      </w:r>
      <w:r w:rsidR="0023218D">
        <w:rPr>
          <w:bCs/>
          <w:sz w:val="28"/>
          <w:szCs w:val="28"/>
          <w:lang w:eastAsia="zh-CN"/>
        </w:rPr>
        <w:t>NN</w:t>
      </w:r>
      <w:r w:rsidRPr="00C61221">
        <w:rPr>
          <w:bCs/>
          <w:sz w:val="28"/>
          <w:szCs w:val="28"/>
          <w:lang w:eastAsia="zh-CN"/>
        </w:rPr>
        <w:t>. Hàng năm dành khoản kinh phí nhất định cho thực hiện các c</w:t>
      </w:r>
      <w:r w:rsidR="0023218D">
        <w:rPr>
          <w:bCs/>
          <w:sz w:val="28"/>
          <w:szCs w:val="28"/>
          <w:lang w:eastAsia="zh-CN"/>
        </w:rPr>
        <w:t>hính sách hỗ trợ HTXNN</w:t>
      </w:r>
      <w:r w:rsidRPr="00C61221">
        <w:rPr>
          <w:bCs/>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bCs/>
          <w:sz w:val="28"/>
          <w:szCs w:val="28"/>
          <w:lang w:eastAsia="zh-CN"/>
        </w:rPr>
        <w:t xml:space="preserve">- </w:t>
      </w:r>
      <w:r w:rsidRPr="00C61221">
        <w:rPr>
          <w:sz w:val="28"/>
          <w:szCs w:val="28"/>
          <w:lang w:eastAsia="zh-CN"/>
        </w:rPr>
        <w:t xml:space="preserve">Thực hiện Nghị định số 107/2020/NĐ-CP </w:t>
      </w:r>
      <w:r w:rsidRPr="00C61221">
        <w:rPr>
          <w:sz w:val="28"/>
          <w:lang w:eastAsia="zh-CN"/>
        </w:rPr>
        <w:t>ngày 14/9/2020 của Chính phủ sửa đổi, bổ sung một số điều của Nghị định số 24/2014/NĐ-CP</w:t>
      </w:r>
      <w:r w:rsidRPr="00C61221">
        <w:rPr>
          <w:sz w:val="28"/>
          <w:vertAlign w:val="superscript"/>
          <w:lang w:eastAsia="zh-CN"/>
        </w:rPr>
        <w:t>(</w:t>
      </w:r>
      <w:r w:rsidRPr="00C61221">
        <w:rPr>
          <w:sz w:val="28"/>
          <w:szCs w:val="28"/>
          <w:vertAlign w:val="superscript"/>
          <w:lang w:eastAsia="zh-CN"/>
        </w:rPr>
        <w:footnoteReference w:id="33"/>
      </w:r>
      <w:r w:rsidRPr="00C61221">
        <w:rPr>
          <w:sz w:val="28"/>
          <w:vertAlign w:val="superscript"/>
          <w:lang w:eastAsia="zh-CN"/>
        </w:rPr>
        <w:t>)</w:t>
      </w:r>
      <w:r w:rsidRPr="00C61221">
        <w:rPr>
          <w:sz w:val="28"/>
          <w:szCs w:val="28"/>
          <w:lang w:eastAsia="zh-CN"/>
        </w:rPr>
        <w:t xml:space="preserve"> và </w:t>
      </w:r>
      <w:r w:rsidRPr="00C61221">
        <w:rPr>
          <w:sz w:val="28"/>
          <w:lang w:eastAsia="zh-CN"/>
        </w:rPr>
        <w:t>Nghị định số 108/2020/NĐ-CP ngày 14/9/2020 của Chính phủ sửa đổi, bổ sung một số điều của Nghị định số 37/2014/NĐ-CP</w:t>
      </w:r>
      <w:r w:rsidRPr="00C61221">
        <w:rPr>
          <w:sz w:val="28"/>
          <w:vertAlign w:val="superscript"/>
          <w:lang w:eastAsia="zh-CN"/>
        </w:rPr>
        <w:t>(</w:t>
      </w:r>
      <w:r w:rsidRPr="00C61221">
        <w:rPr>
          <w:sz w:val="28"/>
          <w:szCs w:val="28"/>
          <w:vertAlign w:val="superscript"/>
          <w:lang w:eastAsia="zh-CN"/>
        </w:rPr>
        <w:footnoteReference w:id="34"/>
      </w:r>
      <w:r w:rsidRPr="00C61221">
        <w:rPr>
          <w:sz w:val="28"/>
          <w:vertAlign w:val="superscript"/>
          <w:lang w:eastAsia="zh-CN"/>
        </w:rPr>
        <w:t>)</w:t>
      </w:r>
      <w:r w:rsidR="0023218D">
        <w:rPr>
          <w:sz w:val="28"/>
          <w:szCs w:val="28"/>
          <w:lang w:eastAsia="zh-CN"/>
        </w:rPr>
        <w:t>, kiến nghị</w:t>
      </w:r>
      <w:r w:rsidRPr="00C61221">
        <w:rPr>
          <w:sz w:val="28"/>
          <w:szCs w:val="28"/>
          <w:lang w:eastAsia="zh-CN"/>
        </w:rPr>
        <w:t>:</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Bộ Kế hoạch và Đầu tư: sớm ban hành Thông tư hướng dẫn chức năng, nhiệm vụ, quyền hạn của các cơ quan chuyên môn thuộc </w:t>
      </w:r>
      <w:r w:rsidR="0023218D">
        <w:rPr>
          <w:sz w:val="28"/>
          <w:szCs w:val="28"/>
          <w:lang w:eastAsia="zh-CN"/>
        </w:rPr>
        <w:t>UBND</w:t>
      </w:r>
      <w:r w:rsidRPr="00C61221">
        <w:rPr>
          <w:sz w:val="28"/>
          <w:szCs w:val="28"/>
          <w:lang w:eastAsia="zh-CN"/>
        </w:rPr>
        <w:t xml:space="preserve"> cấp tỉnh, cấp huyện thay thế </w:t>
      </w:r>
      <w:r w:rsidRPr="00C61221">
        <w:rPr>
          <w:i/>
          <w:iCs/>
          <w:sz w:val="28"/>
          <w:szCs w:val="28"/>
          <w:lang w:eastAsia="zh-CN"/>
        </w:rPr>
        <w:t xml:space="preserve">Thông tư liên tịch số 21/2015/TTLT-BKHĐT-BNV ngày 11/12/2015 của Bộ trưởng Bộ Kế hoạch và Đầu tư và Bộ trưởng Bộ Nội vụ hướng dẫn chức năng, nhiệm vụ, quyền hạn và cơ cấu tổ chức của Sở Kế hoạch và Đầu tư thuộc </w:t>
      </w:r>
      <w:r w:rsidR="0023218D">
        <w:rPr>
          <w:i/>
          <w:iCs/>
          <w:sz w:val="28"/>
          <w:szCs w:val="28"/>
          <w:lang w:eastAsia="zh-CN"/>
        </w:rPr>
        <w:t>UBND</w:t>
      </w:r>
      <w:r w:rsidRPr="00C61221">
        <w:rPr>
          <w:i/>
          <w:iCs/>
          <w:sz w:val="28"/>
          <w:szCs w:val="28"/>
          <w:lang w:eastAsia="zh-CN"/>
        </w:rPr>
        <w:t xml:space="preserve"> tỉnh, thành phố trực thuộc Trung ương và Phòng Tài chính - Kế hoạch thuộc </w:t>
      </w:r>
      <w:r w:rsidR="0023218D">
        <w:rPr>
          <w:i/>
          <w:iCs/>
          <w:sz w:val="28"/>
          <w:szCs w:val="28"/>
          <w:lang w:eastAsia="zh-CN"/>
        </w:rPr>
        <w:t>UBND</w:t>
      </w:r>
      <w:r w:rsidRPr="00C61221">
        <w:rPr>
          <w:i/>
          <w:iCs/>
          <w:sz w:val="28"/>
          <w:szCs w:val="28"/>
          <w:lang w:eastAsia="zh-CN"/>
        </w:rPr>
        <w:t xml:space="preserve"> quận, huyện, thị xã, thành phố thuộc tỉnh.</w:t>
      </w:r>
    </w:p>
    <w:p w:rsidR="004517D4" w:rsidRPr="00C61221" w:rsidRDefault="004517D4" w:rsidP="00C61221">
      <w:pPr>
        <w:spacing w:before="60" w:after="60"/>
        <w:ind w:firstLine="720"/>
        <w:jc w:val="both"/>
        <w:rPr>
          <w:sz w:val="28"/>
          <w:szCs w:val="28"/>
          <w:lang w:eastAsia="zh-CN"/>
        </w:rPr>
      </w:pPr>
      <w:r w:rsidRPr="00C61221">
        <w:rPr>
          <w:sz w:val="28"/>
          <w:szCs w:val="28"/>
          <w:lang w:eastAsia="zh-CN"/>
        </w:rPr>
        <w:t xml:space="preserve">+ Bộ Nông nghiệp và </w:t>
      </w:r>
      <w:r w:rsidR="0023218D">
        <w:rPr>
          <w:sz w:val="28"/>
          <w:szCs w:val="28"/>
          <w:lang w:eastAsia="zh-CN"/>
        </w:rPr>
        <w:t>PTNT</w:t>
      </w:r>
      <w:r w:rsidRPr="00C61221">
        <w:rPr>
          <w:sz w:val="28"/>
          <w:szCs w:val="28"/>
          <w:lang w:eastAsia="zh-CN"/>
        </w:rPr>
        <w:t xml:space="preserve">: sớm ban hành Thông tư hướng dẫn chức năng, nhiệm vụ, quyền hạn của các cơ quan chuyên môn thuộc </w:t>
      </w:r>
      <w:r w:rsidR="00C740A6">
        <w:rPr>
          <w:sz w:val="28"/>
          <w:szCs w:val="28"/>
          <w:lang w:eastAsia="zh-CN"/>
        </w:rPr>
        <w:t>UBND</w:t>
      </w:r>
      <w:r w:rsidRPr="00C61221">
        <w:rPr>
          <w:sz w:val="28"/>
          <w:szCs w:val="28"/>
          <w:lang w:eastAsia="zh-CN"/>
        </w:rPr>
        <w:t xml:space="preserve"> cấp tỉnh, cấp huyện thay thế Thông tư liên tịch số 14/2015/TTLT-BNNPTNT-BNV ngày 25/3/2015 của Bộ trưởng Bộ Nông nghiệp và </w:t>
      </w:r>
      <w:r w:rsidR="00C740A6">
        <w:rPr>
          <w:sz w:val="28"/>
          <w:szCs w:val="28"/>
          <w:lang w:eastAsia="zh-CN"/>
        </w:rPr>
        <w:t>PTNT</w:t>
      </w:r>
      <w:r w:rsidRPr="00C61221">
        <w:rPr>
          <w:sz w:val="28"/>
          <w:szCs w:val="28"/>
          <w:lang w:eastAsia="zh-CN"/>
        </w:rPr>
        <w:t xml:space="preserve"> và Bộ trưởng Bộ Nội vụ hướng dẫn chức năng, nhiệm vụ, quyền hạn và cơ cấu tổ chức của cơ quan chuyên môn về nông nghiệp và </w:t>
      </w:r>
      <w:r w:rsidR="00C740A6">
        <w:rPr>
          <w:sz w:val="28"/>
          <w:szCs w:val="28"/>
          <w:lang w:eastAsia="zh-CN"/>
        </w:rPr>
        <w:t>PTNT</w:t>
      </w:r>
      <w:r w:rsidRPr="00C61221">
        <w:rPr>
          <w:sz w:val="28"/>
          <w:szCs w:val="28"/>
          <w:lang w:eastAsia="zh-CN"/>
        </w:rPr>
        <w:t xml:space="preserve"> thuộc </w:t>
      </w:r>
      <w:r w:rsidR="00C740A6">
        <w:rPr>
          <w:sz w:val="28"/>
          <w:szCs w:val="28"/>
          <w:lang w:eastAsia="zh-CN"/>
        </w:rPr>
        <w:t>UBND</w:t>
      </w:r>
      <w:r w:rsidRPr="00C61221">
        <w:rPr>
          <w:sz w:val="28"/>
          <w:szCs w:val="28"/>
          <w:lang w:eastAsia="zh-CN"/>
        </w:rPr>
        <w:t xml:space="preserve"> cấp tỉnh, cấp huyện.</w:t>
      </w:r>
    </w:p>
    <w:p w:rsidR="004517D4" w:rsidRPr="00C61221" w:rsidRDefault="004517D4" w:rsidP="00C61221">
      <w:pPr>
        <w:spacing w:before="60" w:after="60"/>
        <w:ind w:right="51" w:firstLine="720"/>
        <w:jc w:val="both"/>
        <w:rPr>
          <w:spacing w:val="-4"/>
          <w:sz w:val="28"/>
          <w:szCs w:val="28"/>
          <w:lang w:val="vi-VN" w:eastAsia="zh-CN"/>
        </w:rPr>
      </w:pPr>
      <w:r w:rsidRPr="00C61221">
        <w:rPr>
          <w:b/>
          <w:bCs/>
          <w:spacing w:val="-4"/>
          <w:sz w:val="28"/>
          <w:szCs w:val="28"/>
          <w:lang w:val="vi-VN" w:eastAsia="zh-CN"/>
        </w:rPr>
        <w:t>IV. KIẾN NGHỊ VỀ CÔNG TÁC TỔ CHỨC THI HÀNH LUẬT HTX</w:t>
      </w:r>
    </w:p>
    <w:p w:rsidR="004517D4" w:rsidRPr="00C61221" w:rsidRDefault="004517D4" w:rsidP="00C61221">
      <w:pPr>
        <w:spacing w:before="60" w:after="60"/>
        <w:ind w:right="51" w:firstLine="720"/>
        <w:jc w:val="both"/>
        <w:rPr>
          <w:sz w:val="28"/>
          <w:szCs w:val="28"/>
          <w:lang w:val="es-ES" w:eastAsia="zh-CN"/>
        </w:rPr>
      </w:pPr>
      <w:r w:rsidRPr="00C61221">
        <w:rPr>
          <w:sz w:val="28"/>
          <w:szCs w:val="28"/>
          <w:lang w:val="es-ES" w:eastAsia="zh-CN"/>
        </w:rPr>
        <w:t xml:space="preserve">Hiện nay có 02 văn bản hướng dẫn phân loại, đánh giá HTX: Thông tư 01/2020/TT-BKHĐT của Bộ </w:t>
      </w:r>
      <w:r w:rsidR="00C740A6">
        <w:rPr>
          <w:sz w:val="28"/>
          <w:szCs w:val="28"/>
          <w:lang w:val="es-ES" w:eastAsia="zh-CN"/>
        </w:rPr>
        <w:t xml:space="preserve">trưởng Bộ </w:t>
      </w:r>
      <w:r w:rsidRPr="00C61221">
        <w:rPr>
          <w:sz w:val="28"/>
          <w:szCs w:val="28"/>
          <w:lang w:val="es-ES" w:eastAsia="zh-CN"/>
        </w:rPr>
        <w:t xml:space="preserve">Kế hoạch và Đầu tư  và Thông tư số 09/2017/TT-BNNPTNT của Bộ </w:t>
      </w:r>
      <w:r w:rsidR="00C740A6">
        <w:rPr>
          <w:sz w:val="28"/>
          <w:szCs w:val="28"/>
          <w:lang w:val="es-ES" w:eastAsia="zh-CN"/>
        </w:rPr>
        <w:t xml:space="preserve">trưởng Bộ </w:t>
      </w:r>
      <w:r w:rsidRPr="00C61221">
        <w:rPr>
          <w:sz w:val="28"/>
          <w:szCs w:val="28"/>
          <w:lang w:val="es-ES" w:eastAsia="zh-CN"/>
        </w:rPr>
        <w:t xml:space="preserve">Nông nghiệp và </w:t>
      </w:r>
      <w:r w:rsidR="00C740A6">
        <w:rPr>
          <w:sz w:val="28"/>
          <w:szCs w:val="28"/>
          <w:lang w:val="es-ES" w:eastAsia="zh-CN"/>
        </w:rPr>
        <w:t>PTNT</w:t>
      </w:r>
      <w:r w:rsidRPr="00C61221">
        <w:rPr>
          <w:sz w:val="28"/>
          <w:szCs w:val="28"/>
          <w:lang w:val="es-ES" w:eastAsia="zh-CN"/>
        </w:rPr>
        <w:t>. Kiến nghị các Bộ xem xét, thống nhất văn bản hướng dẫn để địa phương thuận tiện trong triển khai, đạt hiệu quả.</w:t>
      </w:r>
    </w:p>
    <w:p w:rsidR="00B57F02" w:rsidRPr="00C61221" w:rsidRDefault="00FC4D97" w:rsidP="00C740A6">
      <w:pPr>
        <w:tabs>
          <w:tab w:val="center" w:pos="4253"/>
        </w:tabs>
        <w:spacing w:before="60" w:after="240"/>
        <w:ind w:firstLine="567"/>
        <w:jc w:val="both"/>
        <w:rPr>
          <w:rFonts w:eastAsia="Calibri"/>
          <w:sz w:val="28"/>
          <w:szCs w:val="28"/>
        </w:rPr>
      </w:pPr>
      <w:r w:rsidRPr="00C61221">
        <w:rPr>
          <w:rFonts w:eastAsia="Calibri"/>
          <w:sz w:val="28"/>
          <w:szCs w:val="28"/>
        </w:rPr>
        <w:t xml:space="preserve">Trên đây là Báo cáo </w:t>
      </w:r>
      <w:r w:rsidR="004517D4" w:rsidRPr="00C61221">
        <w:rPr>
          <w:rFonts w:eastAsia="Calibri"/>
          <w:sz w:val="28"/>
          <w:szCs w:val="28"/>
        </w:rPr>
        <w:t>Tổng kết 10 năm thi hành Luật Hợp tác xã năm 2012</w:t>
      </w:r>
      <w:r w:rsidR="00B57F02" w:rsidRPr="00C61221">
        <w:rPr>
          <w:rFonts w:eastAsia="Calibri"/>
          <w:sz w:val="28"/>
          <w:szCs w:val="28"/>
        </w:rPr>
        <w:t xml:space="preserve"> trên địa bàn tỉnh đồng tháp</w:t>
      </w:r>
      <w:r w:rsidRPr="00C61221">
        <w:rPr>
          <w:rFonts w:eastAsia="Calibri"/>
          <w:sz w:val="28"/>
          <w:szCs w:val="28"/>
        </w:rPr>
        <w:t xml:space="preserve">, </w:t>
      </w:r>
      <w:r w:rsidR="00EB3DA4" w:rsidRPr="00C61221">
        <w:rPr>
          <w:rFonts w:eastAsia="Calibri"/>
          <w:sz w:val="28"/>
          <w:szCs w:val="28"/>
        </w:rPr>
        <w:t xml:space="preserve">UBND </w:t>
      </w:r>
      <w:r w:rsidRPr="00C61221">
        <w:rPr>
          <w:rFonts w:eastAsia="Calibri"/>
          <w:sz w:val="28"/>
          <w:szCs w:val="28"/>
        </w:rPr>
        <w:t>T</w:t>
      </w:r>
      <w:r w:rsidR="00EB3DA4" w:rsidRPr="00C61221">
        <w:rPr>
          <w:rFonts w:eastAsia="Calibri"/>
          <w:sz w:val="28"/>
          <w:szCs w:val="28"/>
        </w:rPr>
        <w:t xml:space="preserve">ỉnh </w:t>
      </w:r>
      <w:r w:rsidRPr="00C61221">
        <w:rPr>
          <w:rFonts w:eastAsia="Calibri"/>
          <w:sz w:val="28"/>
          <w:szCs w:val="28"/>
        </w:rPr>
        <w:t>kính gửi</w:t>
      </w:r>
      <w:r w:rsidR="00EB3DA4" w:rsidRPr="00C61221">
        <w:rPr>
          <w:rFonts w:eastAsiaTheme="minorHAnsi"/>
          <w:sz w:val="28"/>
          <w:szCs w:val="28"/>
          <w:lang w:val="af-ZA"/>
        </w:rPr>
        <w:t xml:space="preserve"> Bộ Kế hoạch và Đầu tư </w:t>
      </w:r>
      <w:r w:rsidR="00EB3DA4" w:rsidRPr="00C61221">
        <w:rPr>
          <w:rFonts w:eastAsia="Calibri"/>
          <w:sz w:val="28"/>
          <w:szCs w:val="28"/>
        </w:rPr>
        <w:t>xem xét, tổng hợp./.</w:t>
      </w:r>
    </w:p>
    <w:tbl>
      <w:tblPr>
        <w:tblW w:w="9356" w:type="dxa"/>
        <w:tblInd w:w="-34" w:type="dxa"/>
        <w:tblLook w:val="01E0" w:firstRow="1" w:lastRow="1" w:firstColumn="1" w:lastColumn="1" w:noHBand="0" w:noVBand="0"/>
      </w:tblPr>
      <w:tblGrid>
        <w:gridCol w:w="5671"/>
        <w:gridCol w:w="3685"/>
      </w:tblGrid>
      <w:tr w:rsidR="001E1732" w:rsidRPr="00C61221" w:rsidTr="008252B9">
        <w:tc>
          <w:tcPr>
            <w:tcW w:w="5671" w:type="dxa"/>
          </w:tcPr>
          <w:p w:rsidR="00F64D87" w:rsidRPr="00C61221" w:rsidRDefault="00BF3DD6" w:rsidP="00F64D87">
            <w:pPr>
              <w:rPr>
                <w:rFonts w:eastAsia="SimSun"/>
                <w:b/>
                <w:bCs/>
                <w:i/>
                <w:szCs w:val="20"/>
                <w:lang w:eastAsia="zh-CN"/>
              </w:rPr>
            </w:pPr>
            <w:r w:rsidRPr="00C61221">
              <w:rPr>
                <w:sz w:val="28"/>
                <w:szCs w:val="28"/>
                <w:lang w:val="af-ZA"/>
              </w:rPr>
              <w:t xml:space="preserve"> </w:t>
            </w:r>
            <w:r w:rsidR="00F64D87" w:rsidRPr="00C61221">
              <w:rPr>
                <w:rFonts w:eastAsia="SimSun"/>
                <w:b/>
                <w:bCs/>
                <w:i/>
                <w:szCs w:val="20"/>
                <w:lang w:val="vi-VN" w:eastAsia="zh-CN"/>
              </w:rPr>
              <w:t>N</w:t>
            </w:r>
            <w:r w:rsidR="00F64D87" w:rsidRPr="00C61221">
              <w:rPr>
                <w:rFonts w:eastAsia="SimSun"/>
                <w:b/>
                <w:bCs/>
                <w:i/>
                <w:szCs w:val="20"/>
                <w:lang w:eastAsia="zh-CN"/>
              </w:rPr>
              <w:t>ơi nhận:</w:t>
            </w:r>
          </w:p>
        </w:tc>
        <w:tc>
          <w:tcPr>
            <w:tcW w:w="3685" w:type="dxa"/>
          </w:tcPr>
          <w:p w:rsidR="00F64D87" w:rsidRPr="00C61221" w:rsidRDefault="00F64D87" w:rsidP="00F64D87">
            <w:pPr>
              <w:jc w:val="center"/>
              <w:rPr>
                <w:rFonts w:eastAsia="SimSun"/>
                <w:b/>
                <w:bCs/>
                <w:sz w:val="26"/>
                <w:szCs w:val="26"/>
                <w:lang w:eastAsia="zh-CN"/>
              </w:rPr>
            </w:pPr>
            <w:r w:rsidRPr="00C61221">
              <w:rPr>
                <w:rFonts w:eastAsia="SimSun"/>
                <w:b/>
                <w:bCs/>
                <w:sz w:val="26"/>
                <w:szCs w:val="26"/>
                <w:lang w:eastAsia="zh-CN"/>
              </w:rPr>
              <w:t xml:space="preserve">TM. UỶ BAN NHÂN DÂN </w:t>
            </w:r>
          </w:p>
        </w:tc>
      </w:tr>
      <w:tr w:rsidR="001E1732" w:rsidRPr="00C61221" w:rsidTr="00EC5D45">
        <w:trPr>
          <w:trHeight w:val="2446"/>
        </w:trPr>
        <w:tc>
          <w:tcPr>
            <w:tcW w:w="5671" w:type="dxa"/>
          </w:tcPr>
          <w:p w:rsidR="00E91D0E" w:rsidRPr="00C61221" w:rsidRDefault="00971F50" w:rsidP="00F64D87">
            <w:pPr>
              <w:rPr>
                <w:rFonts w:eastAsia="SimSun"/>
                <w:bCs/>
                <w:sz w:val="22"/>
                <w:szCs w:val="22"/>
                <w:lang w:eastAsia="zh-CN"/>
              </w:rPr>
            </w:pPr>
            <w:r w:rsidRPr="00C61221">
              <w:rPr>
                <w:rFonts w:eastAsia="SimSun"/>
                <w:bCs/>
                <w:sz w:val="22"/>
                <w:szCs w:val="22"/>
                <w:lang w:val="vi-VN" w:eastAsia="zh-CN"/>
              </w:rPr>
              <w:t xml:space="preserve">- </w:t>
            </w:r>
            <w:r w:rsidR="00E91D0E" w:rsidRPr="00C61221">
              <w:rPr>
                <w:rFonts w:eastAsia="SimSun"/>
                <w:bCs/>
                <w:sz w:val="22"/>
                <w:szCs w:val="22"/>
                <w:lang w:eastAsia="zh-CN"/>
              </w:rPr>
              <w:t xml:space="preserve">Bộ </w:t>
            </w:r>
            <w:r w:rsidR="00EB3DA4" w:rsidRPr="00C61221">
              <w:rPr>
                <w:rFonts w:eastAsia="SimSun"/>
                <w:bCs/>
                <w:sz w:val="22"/>
                <w:szCs w:val="22"/>
                <w:lang w:eastAsia="zh-CN"/>
              </w:rPr>
              <w:t>Kế hoạch và Đầu tư</w:t>
            </w:r>
            <w:r w:rsidR="00E91D0E" w:rsidRPr="00C61221">
              <w:rPr>
                <w:rFonts w:eastAsia="SimSun"/>
                <w:bCs/>
                <w:sz w:val="22"/>
                <w:szCs w:val="22"/>
                <w:lang w:eastAsia="zh-CN"/>
              </w:rPr>
              <w:t>;</w:t>
            </w:r>
          </w:p>
          <w:p w:rsidR="00950D0D" w:rsidRPr="00C61221" w:rsidRDefault="00950D0D" w:rsidP="00F64D87">
            <w:pPr>
              <w:rPr>
                <w:rFonts w:eastAsia="SimSun"/>
                <w:bCs/>
                <w:sz w:val="22"/>
                <w:szCs w:val="22"/>
                <w:lang w:eastAsia="zh-CN"/>
              </w:rPr>
            </w:pPr>
            <w:r w:rsidRPr="00C61221">
              <w:rPr>
                <w:rFonts w:eastAsia="SimSun"/>
                <w:bCs/>
                <w:sz w:val="22"/>
                <w:szCs w:val="22"/>
                <w:lang w:eastAsia="zh-CN"/>
              </w:rPr>
              <w:t xml:space="preserve">- TT/TU; TT/HĐND Tỉnh; </w:t>
            </w:r>
          </w:p>
          <w:p w:rsidR="00F64D87" w:rsidRPr="00C61221" w:rsidRDefault="00F64D87" w:rsidP="00F64D87">
            <w:pPr>
              <w:rPr>
                <w:rFonts w:eastAsia="SimSun"/>
                <w:bCs/>
                <w:sz w:val="22"/>
                <w:szCs w:val="22"/>
                <w:lang w:val="vi-VN" w:eastAsia="zh-CN"/>
              </w:rPr>
            </w:pPr>
            <w:r w:rsidRPr="00C61221">
              <w:rPr>
                <w:rFonts w:eastAsia="SimSun"/>
                <w:bCs/>
                <w:sz w:val="22"/>
                <w:szCs w:val="22"/>
                <w:lang w:val="vi-VN" w:eastAsia="zh-CN"/>
              </w:rPr>
              <w:t>- CT và PCT/UBND Tỉnh;</w:t>
            </w:r>
          </w:p>
          <w:p w:rsidR="004133F9" w:rsidRPr="00C61221" w:rsidRDefault="00695F85" w:rsidP="004133F9">
            <w:pPr>
              <w:rPr>
                <w:rFonts w:eastAsia="SimSun"/>
                <w:bCs/>
                <w:sz w:val="22"/>
                <w:szCs w:val="22"/>
                <w:lang w:eastAsia="zh-CN"/>
              </w:rPr>
            </w:pPr>
            <w:r w:rsidRPr="00C61221">
              <w:rPr>
                <w:rFonts w:eastAsia="SimSun"/>
                <w:bCs/>
                <w:sz w:val="22"/>
                <w:szCs w:val="22"/>
                <w:lang w:val="vi-VN" w:eastAsia="zh-CN"/>
              </w:rPr>
              <w:t>-</w:t>
            </w:r>
            <w:r w:rsidR="009F1793" w:rsidRPr="00C61221">
              <w:rPr>
                <w:rFonts w:eastAsia="SimSun"/>
                <w:bCs/>
                <w:sz w:val="22"/>
                <w:szCs w:val="22"/>
                <w:lang w:eastAsia="zh-CN"/>
              </w:rPr>
              <w:t xml:space="preserve"> </w:t>
            </w:r>
            <w:r w:rsidR="00405C15" w:rsidRPr="00C61221">
              <w:rPr>
                <w:rFonts w:eastAsia="SimSun"/>
                <w:bCs/>
                <w:sz w:val="22"/>
                <w:szCs w:val="22"/>
                <w:lang w:eastAsia="zh-CN"/>
              </w:rPr>
              <w:t>Các Sở:</w:t>
            </w:r>
            <w:r w:rsidR="004133F9" w:rsidRPr="00C61221">
              <w:rPr>
                <w:rFonts w:eastAsia="SimSun"/>
                <w:bCs/>
                <w:sz w:val="22"/>
                <w:szCs w:val="22"/>
                <w:lang w:eastAsia="zh-CN"/>
              </w:rPr>
              <w:t xml:space="preserve"> KH</w:t>
            </w:r>
            <w:r w:rsidR="00EB3DA4" w:rsidRPr="00C61221">
              <w:rPr>
                <w:rFonts w:eastAsia="SimSun"/>
                <w:bCs/>
                <w:sz w:val="22"/>
                <w:szCs w:val="22"/>
                <w:lang w:eastAsia="zh-CN"/>
              </w:rPr>
              <w:t>ĐT</w:t>
            </w:r>
            <w:r w:rsidR="004133F9" w:rsidRPr="00C61221">
              <w:rPr>
                <w:rFonts w:eastAsia="SimSun"/>
                <w:bCs/>
                <w:sz w:val="22"/>
                <w:szCs w:val="22"/>
                <w:lang w:eastAsia="zh-CN"/>
              </w:rPr>
              <w:t>;</w:t>
            </w:r>
            <w:r w:rsidR="00405C15" w:rsidRPr="00C61221">
              <w:rPr>
                <w:rFonts w:eastAsia="SimSun"/>
                <w:bCs/>
                <w:sz w:val="22"/>
                <w:szCs w:val="22"/>
                <w:lang w:eastAsia="zh-CN"/>
              </w:rPr>
              <w:t xml:space="preserve"> NNPTNT; </w:t>
            </w:r>
            <w:r w:rsidR="004133F9" w:rsidRPr="00C61221">
              <w:rPr>
                <w:rFonts w:eastAsia="SimSun"/>
                <w:bCs/>
                <w:sz w:val="22"/>
                <w:szCs w:val="22"/>
                <w:lang w:eastAsia="zh-CN"/>
              </w:rPr>
              <w:t xml:space="preserve"> </w:t>
            </w:r>
          </w:p>
          <w:p w:rsidR="00EB3DA4" w:rsidRPr="00C61221" w:rsidRDefault="00EB3DA4" w:rsidP="004133F9">
            <w:pPr>
              <w:rPr>
                <w:rFonts w:eastAsia="SimSun"/>
                <w:bCs/>
                <w:sz w:val="22"/>
                <w:szCs w:val="22"/>
                <w:lang w:eastAsia="zh-CN"/>
              </w:rPr>
            </w:pPr>
            <w:r w:rsidRPr="00C61221">
              <w:rPr>
                <w:rFonts w:eastAsia="SimSun"/>
                <w:bCs/>
                <w:sz w:val="22"/>
                <w:szCs w:val="22"/>
                <w:lang w:eastAsia="zh-CN"/>
              </w:rPr>
              <w:t xml:space="preserve">- Liên minh HTX Tỉnh; </w:t>
            </w:r>
          </w:p>
          <w:p w:rsidR="00F64D87" w:rsidRPr="00C61221" w:rsidRDefault="00F64D87" w:rsidP="004133F9">
            <w:pPr>
              <w:rPr>
                <w:rFonts w:eastAsia="SimSun"/>
                <w:bCs/>
                <w:sz w:val="22"/>
                <w:szCs w:val="22"/>
                <w:lang w:val="vi-VN" w:eastAsia="zh-CN"/>
              </w:rPr>
            </w:pPr>
            <w:r w:rsidRPr="00C61221">
              <w:rPr>
                <w:rFonts w:eastAsia="SimSun"/>
                <w:bCs/>
                <w:sz w:val="22"/>
                <w:szCs w:val="22"/>
                <w:lang w:val="vi-VN" w:eastAsia="zh-CN"/>
              </w:rPr>
              <w:t xml:space="preserve">- LĐVP/UBND </w:t>
            </w:r>
            <w:r w:rsidR="00695F85" w:rsidRPr="00C61221">
              <w:rPr>
                <w:rFonts w:eastAsia="SimSun"/>
                <w:bCs/>
                <w:sz w:val="22"/>
                <w:szCs w:val="22"/>
                <w:lang w:val="vi-VN" w:eastAsia="zh-CN"/>
              </w:rPr>
              <w:t>T</w:t>
            </w:r>
            <w:r w:rsidRPr="00C61221">
              <w:rPr>
                <w:rFonts w:eastAsia="SimSun"/>
                <w:bCs/>
                <w:sz w:val="22"/>
                <w:szCs w:val="22"/>
                <w:lang w:val="vi-VN" w:eastAsia="zh-CN"/>
              </w:rPr>
              <w:t xml:space="preserve">ỉnh; </w:t>
            </w:r>
          </w:p>
          <w:p w:rsidR="00BE3D47" w:rsidRPr="00C61221" w:rsidRDefault="00BE3D47" w:rsidP="004133F9">
            <w:pPr>
              <w:rPr>
                <w:rFonts w:eastAsia="SimSun"/>
                <w:bCs/>
                <w:sz w:val="22"/>
                <w:szCs w:val="22"/>
                <w:lang w:eastAsia="zh-CN"/>
              </w:rPr>
            </w:pPr>
            <w:r w:rsidRPr="00C61221">
              <w:rPr>
                <w:rFonts w:eastAsia="SimSun"/>
                <w:bCs/>
                <w:sz w:val="22"/>
                <w:szCs w:val="22"/>
                <w:lang w:eastAsia="zh-CN"/>
              </w:rPr>
              <w:t xml:space="preserve">- UBND huyện, thành phố; </w:t>
            </w:r>
          </w:p>
          <w:p w:rsidR="00F64D87" w:rsidRPr="00C61221" w:rsidRDefault="00F64D87" w:rsidP="00F64D87">
            <w:pPr>
              <w:rPr>
                <w:rFonts w:eastAsia="SimSun"/>
                <w:bCs/>
                <w:i/>
                <w:szCs w:val="20"/>
                <w:lang w:eastAsia="zh-CN"/>
              </w:rPr>
            </w:pPr>
            <w:r w:rsidRPr="00C61221">
              <w:rPr>
                <w:rFonts w:eastAsia="SimSun"/>
                <w:bCs/>
                <w:sz w:val="22"/>
                <w:szCs w:val="22"/>
                <w:lang w:val="vi-VN" w:eastAsia="zh-CN"/>
              </w:rPr>
              <w:t>- Lưu VT, NC/KT (VA).</w:t>
            </w:r>
          </w:p>
        </w:tc>
        <w:tc>
          <w:tcPr>
            <w:tcW w:w="3685" w:type="dxa"/>
          </w:tcPr>
          <w:p w:rsidR="00F64D87" w:rsidRPr="00C61221" w:rsidRDefault="00F64D87" w:rsidP="00F64D87">
            <w:pPr>
              <w:jc w:val="center"/>
              <w:rPr>
                <w:rFonts w:eastAsia="SimSun"/>
                <w:b/>
                <w:bCs/>
                <w:sz w:val="26"/>
                <w:szCs w:val="26"/>
                <w:lang w:eastAsia="zh-CN"/>
              </w:rPr>
            </w:pPr>
            <w:r w:rsidRPr="00C61221">
              <w:rPr>
                <w:rFonts w:eastAsia="SimSun"/>
                <w:b/>
                <w:bCs/>
                <w:sz w:val="26"/>
                <w:szCs w:val="26"/>
                <w:lang w:eastAsia="zh-CN"/>
              </w:rPr>
              <w:t>KT. CHỦ TỊCH</w:t>
            </w:r>
          </w:p>
          <w:p w:rsidR="00F64D87" w:rsidRPr="00C61221" w:rsidRDefault="00F64D87" w:rsidP="00F64D87">
            <w:pPr>
              <w:spacing w:line="288" w:lineRule="auto"/>
              <w:jc w:val="center"/>
              <w:rPr>
                <w:rFonts w:eastAsia="SimSun"/>
                <w:b/>
                <w:bCs/>
                <w:sz w:val="26"/>
                <w:szCs w:val="26"/>
                <w:lang w:eastAsia="zh-CN"/>
              </w:rPr>
            </w:pPr>
            <w:r w:rsidRPr="00C61221">
              <w:rPr>
                <w:rFonts w:eastAsia="SimSun"/>
                <w:b/>
                <w:bCs/>
                <w:sz w:val="26"/>
                <w:szCs w:val="26"/>
                <w:lang w:eastAsia="zh-CN"/>
              </w:rPr>
              <w:t>PHÓ CHỦ TỊCH</w:t>
            </w:r>
          </w:p>
          <w:p w:rsidR="00F64D87" w:rsidRPr="00C61221" w:rsidRDefault="00F64D87" w:rsidP="00F64D87">
            <w:pPr>
              <w:spacing w:line="288" w:lineRule="auto"/>
              <w:jc w:val="center"/>
              <w:rPr>
                <w:rFonts w:eastAsia="SimSun"/>
                <w:b/>
                <w:bCs/>
                <w:sz w:val="26"/>
                <w:szCs w:val="26"/>
                <w:lang w:val="vi-VN" w:eastAsia="zh-CN"/>
              </w:rPr>
            </w:pPr>
          </w:p>
          <w:p w:rsidR="00F64D87" w:rsidRPr="00C61221" w:rsidRDefault="00F64D87" w:rsidP="00F64D87">
            <w:pPr>
              <w:spacing w:line="288" w:lineRule="auto"/>
              <w:jc w:val="center"/>
              <w:rPr>
                <w:rFonts w:eastAsia="SimSun"/>
                <w:b/>
                <w:bCs/>
                <w:sz w:val="26"/>
                <w:szCs w:val="26"/>
                <w:lang w:val="vi-VN" w:eastAsia="zh-CN"/>
              </w:rPr>
            </w:pPr>
          </w:p>
          <w:p w:rsidR="00F64D87" w:rsidRPr="00C61221" w:rsidRDefault="00F64D87" w:rsidP="00F64D87">
            <w:pPr>
              <w:spacing w:line="288" w:lineRule="auto"/>
              <w:jc w:val="center"/>
              <w:rPr>
                <w:rFonts w:eastAsia="SimSun"/>
                <w:b/>
                <w:bCs/>
                <w:sz w:val="26"/>
                <w:szCs w:val="26"/>
                <w:lang w:eastAsia="zh-CN"/>
              </w:rPr>
            </w:pPr>
          </w:p>
          <w:p w:rsidR="00F64D87" w:rsidRPr="00C61221" w:rsidRDefault="00F64D87" w:rsidP="00F64D87">
            <w:pPr>
              <w:spacing w:line="288" w:lineRule="auto"/>
              <w:jc w:val="center"/>
              <w:rPr>
                <w:rFonts w:eastAsia="SimSun"/>
                <w:b/>
                <w:bCs/>
                <w:sz w:val="26"/>
                <w:szCs w:val="26"/>
                <w:lang w:val="vi-VN" w:eastAsia="zh-CN"/>
              </w:rPr>
            </w:pPr>
          </w:p>
          <w:p w:rsidR="00F64D87" w:rsidRPr="00C61221" w:rsidRDefault="00EC5D45" w:rsidP="00EC5D45">
            <w:pPr>
              <w:spacing w:line="288" w:lineRule="auto"/>
              <w:jc w:val="center"/>
              <w:rPr>
                <w:rFonts w:eastAsia="SimSun"/>
                <w:b/>
                <w:bCs/>
                <w:sz w:val="26"/>
                <w:szCs w:val="26"/>
                <w:lang w:eastAsia="zh-CN"/>
              </w:rPr>
            </w:pPr>
            <w:r w:rsidRPr="00C61221">
              <w:rPr>
                <w:rFonts w:eastAsia="SimSun"/>
                <w:b/>
                <w:bCs/>
                <w:sz w:val="28"/>
                <w:szCs w:val="26"/>
                <w:lang w:eastAsia="zh-CN"/>
              </w:rPr>
              <w:t>Huỳnh Minh Tuấn</w:t>
            </w:r>
          </w:p>
        </w:tc>
      </w:tr>
    </w:tbl>
    <w:p w:rsidR="00EC5D45" w:rsidRPr="00C61221" w:rsidRDefault="00EC5D45" w:rsidP="00EC5D45">
      <w:pPr>
        <w:widowControl w:val="0"/>
        <w:jc w:val="center"/>
        <w:sectPr w:rsidR="00EC5D45" w:rsidRPr="00C61221" w:rsidSect="000705B9">
          <w:headerReference w:type="default" r:id="rId8"/>
          <w:footerReference w:type="default" r:id="rId9"/>
          <w:footerReference w:type="first" r:id="rId10"/>
          <w:pgSz w:w="11907" w:h="16840" w:code="9"/>
          <w:pgMar w:top="851" w:right="1134" w:bottom="851" w:left="1701" w:header="284" w:footer="284" w:gutter="0"/>
          <w:cols w:space="720"/>
          <w:titlePg/>
          <w:docGrid w:linePitch="360"/>
        </w:sectPr>
      </w:pPr>
    </w:p>
    <w:p w:rsidR="00E36FC9" w:rsidRPr="00C61221" w:rsidRDefault="00E36FC9" w:rsidP="00EC5D45">
      <w:pPr>
        <w:widowControl w:val="0"/>
        <w:jc w:val="center"/>
      </w:pPr>
    </w:p>
    <w:sectPr w:rsidR="00E36FC9" w:rsidRPr="00C61221" w:rsidSect="00EC5D45">
      <w:type w:val="continuous"/>
      <w:pgSz w:w="11907" w:h="16840" w:code="9"/>
      <w:pgMar w:top="96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79" w:rsidRDefault="005C3E79">
      <w:r>
        <w:separator/>
      </w:r>
    </w:p>
  </w:endnote>
  <w:endnote w:type="continuationSeparator" w:id="0">
    <w:p w:rsidR="005C3E79" w:rsidRDefault="005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charset w:val="00"/>
    <w:family w:val="roman"/>
    <w:pitch w:val="variable"/>
  </w:font>
  <w:font w:name="Times-Bold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NanumGothic">
    <w:altName w:val="Arial Unicode MS"/>
    <w:charset w:val="00"/>
    <w:family w:val="roman"/>
    <w:pitch w:val="default"/>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63" w:rsidRDefault="00383C63">
    <w:pPr>
      <w:pStyle w:val="Footer"/>
      <w:jc w:val="center"/>
    </w:pPr>
  </w:p>
  <w:p w:rsidR="00383C63" w:rsidRDefault="00383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63" w:rsidRDefault="00383C63">
    <w:pPr>
      <w:pStyle w:val="Footer"/>
      <w:jc w:val="center"/>
    </w:pPr>
  </w:p>
  <w:p w:rsidR="00383C63" w:rsidRDefault="00383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79" w:rsidRDefault="005C3E79">
      <w:r>
        <w:separator/>
      </w:r>
    </w:p>
  </w:footnote>
  <w:footnote w:type="continuationSeparator" w:id="0">
    <w:p w:rsidR="005C3E79" w:rsidRDefault="005C3E79">
      <w:r>
        <w:continuationSeparator/>
      </w:r>
    </w:p>
  </w:footnote>
  <w:footnote w:id="1">
    <w:p w:rsidR="00383C63" w:rsidRPr="0082498B" w:rsidRDefault="00383C63" w:rsidP="004517D4">
      <w:pPr>
        <w:pStyle w:val="FootnoteText"/>
        <w:jc w:val="both"/>
        <w:rPr>
          <w:color w:val="FF0000"/>
        </w:rPr>
      </w:pPr>
      <w:r w:rsidRPr="00C57729">
        <w:rPr>
          <w:rStyle w:val="FootnoteReference"/>
        </w:rPr>
        <w:footnoteRef/>
      </w:r>
      <w:r w:rsidRPr="00C57729">
        <w:t xml:space="preserve">Tốc độ tăng trưởng bình quân 05 năm 2016 - 2020 tăng 5,48%. Quy mô nền kinh tế ngày càng được mở rộng, ước năm 2020 đạt gần 86.538 tỷ đồng, tăng 1,5 lần so với năm 2015, xếp vào hàng khá của khu vực đồng bằng sông Cửu Long. GRDP bình quân đầu người năm 2020 ước đạt 54 triệu đồng, gấp 1,5 lần so với năm 2015. Thu nhập bình quân đầu người năm 2020 ước đạt 47 triệu đồng (trong đó, khu vực thành thị là 51 triệu đồng, khu vực nông thôn là 46 triệu đồng). </w:t>
      </w:r>
    </w:p>
  </w:footnote>
  <w:footnote w:id="2">
    <w:p w:rsidR="00383C63" w:rsidRPr="0071207B" w:rsidRDefault="00383C63" w:rsidP="004517D4">
      <w:pPr>
        <w:pStyle w:val="FootnoteText"/>
        <w:jc w:val="both"/>
      </w:pPr>
      <w:r w:rsidRPr="0071207B">
        <w:rPr>
          <w:rStyle w:val="FootnoteReference"/>
          <w:b/>
        </w:rPr>
        <w:footnoteRef/>
      </w:r>
      <w:r w:rsidRPr="0071207B">
        <w:t xml:space="preserve">Có 112 mô hình Hội quán phát triển gắn với từng ngành hàng đặc trưng của địa phương, làm nền tảng để phát triển và nâng cao chất lượng </w:t>
      </w:r>
      <w:r>
        <w:t>KTTT</w:t>
      </w:r>
      <w:r w:rsidRPr="0071207B">
        <w:t xml:space="preserve">, đã có 27 </w:t>
      </w:r>
      <w:r>
        <w:t>HTX</w:t>
      </w:r>
      <w:r w:rsidRPr="0071207B">
        <w:t xml:space="preserve"> kiểu mới được thành lập từ mô hình này. Xây dựng nông thôn mới (NTM) đạt kết quả vượt bậc theo phương châm “dân bàn, dân làm, dân thụ hưởng”. Đến cuối năm 2020, có 98/117 đạt chuẩn NTM và 06/12 đơn vị cấp huyện đạt chuẩn NTM, vượt 04 huyện so với Nghị quyết Đại hội Đảng bộ Tỉnh.</w:t>
      </w:r>
    </w:p>
  </w:footnote>
  <w:footnote w:id="3">
    <w:p w:rsidR="00383C63" w:rsidRPr="00D60CCC" w:rsidRDefault="00383C63" w:rsidP="004517D4">
      <w:pPr>
        <w:pStyle w:val="FootnoteText"/>
      </w:pPr>
      <w:r w:rsidRPr="0071207B">
        <w:rPr>
          <w:rStyle w:val="FootnoteReference"/>
          <w:b/>
        </w:rPr>
        <w:footnoteRef/>
      </w:r>
      <w:r w:rsidRPr="0071207B">
        <w:t>Đã có 03/12 UBND cấp huyện được công nhận hoàn thành nhiệm vụ xây dựng NTM. Đến cuối năm 2020 có 02 UBND cấp huyện được công nhận hoàn thành nhiệm vụ xây dựng NTM</w:t>
      </w:r>
    </w:p>
  </w:footnote>
  <w:footnote w:id="4">
    <w:p w:rsidR="00383C63" w:rsidRPr="00043FC6" w:rsidRDefault="00383C63" w:rsidP="004517D4">
      <w:pPr>
        <w:pStyle w:val="FootnoteText"/>
      </w:pPr>
      <w:r w:rsidRPr="00043FC6">
        <w:rPr>
          <w:rStyle w:val="FootnoteReference"/>
        </w:rPr>
        <w:footnoteRef/>
      </w:r>
      <w:r w:rsidRPr="00043FC6">
        <w:t xml:space="preserve"> Chính sách Thí điểm cán bộ trẻ tốt nghiệp nghiệp đại học, cao đẳng về làm việc có thời hạn ở HTX; Cán bộ biệt phái...</w:t>
      </w:r>
    </w:p>
  </w:footnote>
  <w:footnote w:id="5">
    <w:p w:rsidR="00383C63" w:rsidRDefault="00383C63" w:rsidP="004517D4">
      <w:pPr>
        <w:pStyle w:val="FootnoteText"/>
        <w:jc w:val="both"/>
      </w:pPr>
      <w:r w:rsidRPr="006017C1">
        <w:rPr>
          <w:rStyle w:val="FootnoteReference"/>
        </w:rPr>
        <w:footnoteRef/>
      </w:r>
      <w:r w:rsidRPr="006017C1">
        <w:t xml:space="preserve"> Liên minh </w:t>
      </w:r>
      <w:r>
        <w:t>HTX</w:t>
      </w:r>
      <w:r w:rsidRPr="006017C1">
        <w:t xml:space="preserve"> Tỉnh</w:t>
      </w:r>
      <w:r>
        <w:t xml:space="preserve"> đã</w:t>
      </w:r>
      <w:r w:rsidRPr="006017C1">
        <w:t xml:space="preserve"> phối hợp với Uỷ ban Mặt trận Tổ quốc Việt Nam Tỉnh xét chọn các HTX kiểu mới </w:t>
      </w:r>
      <w:r w:rsidRPr="00C57729">
        <w:t>điển hình giai đoạn 2014</w:t>
      </w:r>
      <w:r>
        <w:t xml:space="preserve"> </w:t>
      </w:r>
      <w:r w:rsidRPr="00C57729">
        <w:t>-</w:t>
      </w:r>
      <w:r>
        <w:t xml:space="preserve"> </w:t>
      </w:r>
      <w:r w:rsidRPr="00C57729">
        <w:t>2016 đề nghị Uỷ ban Mặt trận Tổ quốc Việt Nam biên tập và phát hành cuốn sách “Những HTX kiểu mới điển hình giai đoạn 2014</w:t>
      </w:r>
      <w:r>
        <w:t xml:space="preserve"> </w:t>
      </w:r>
      <w:r w:rsidRPr="00C57729">
        <w:t>-</w:t>
      </w:r>
      <w:r>
        <w:t xml:space="preserve"> </w:t>
      </w:r>
      <w:r w:rsidRPr="00C57729">
        <w:t>2016”.</w:t>
      </w:r>
      <w:r>
        <w:t xml:space="preserve"> </w:t>
      </w:r>
    </w:p>
    <w:p w:rsidR="00383C63" w:rsidRPr="002855EF" w:rsidRDefault="00383C63" w:rsidP="004517D4">
      <w:pPr>
        <w:pStyle w:val="FootnoteText"/>
        <w:jc w:val="both"/>
        <w:rPr>
          <w:color w:val="FF0000"/>
        </w:rPr>
      </w:pPr>
      <w:r>
        <w:t xml:space="preserve">   </w:t>
      </w:r>
      <w:r w:rsidRPr="00C57729">
        <w:t xml:space="preserve">Phát hành Bản tin </w:t>
      </w:r>
      <w:r>
        <w:t>KTTT</w:t>
      </w:r>
      <w:r w:rsidRPr="00C57729">
        <w:t xml:space="preserve"> được 20 số với hơn 5.400 bản, qua đó giới thiệu những THT, HTX hoạt động có hiệu quả, các HTX kiểu mới gắn với chuỗi giá trị sản phẩm, vai trò của HTX trong xây dựng nông thôn mới.</w:t>
      </w:r>
      <w:r>
        <w:t xml:space="preserve"> </w:t>
      </w:r>
      <w:r w:rsidRPr="00C57729">
        <w:t>Giai đoạn 2012</w:t>
      </w:r>
      <w:r>
        <w:t xml:space="preserve"> </w:t>
      </w:r>
      <w:r w:rsidRPr="00C57729">
        <w:t>- 2020 Tỉnh đã dành nguồn kinh phí 3,9 tỷ đồng để đào tạo, tuyên truyền về KTTT, HTX</w:t>
      </w:r>
      <w:r>
        <w:t>.</w:t>
      </w:r>
    </w:p>
  </w:footnote>
  <w:footnote w:id="6">
    <w:p w:rsidR="00383C63" w:rsidRPr="003A4FBA" w:rsidRDefault="00383C63" w:rsidP="004517D4">
      <w:pPr>
        <w:pStyle w:val="FootnoteText"/>
      </w:pPr>
      <w:r w:rsidRPr="003A4FBA">
        <w:rPr>
          <w:rStyle w:val="FootnoteReference"/>
        </w:rPr>
        <w:footnoteRef/>
      </w:r>
      <w:r w:rsidRPr="003A4FBA">
        <w:t xml:space="preserve"> Quyết định số 126/QĐ-UBND-TL ngày 04/12/2017 của Chủ tịch </w:t>
      </w:r>
      <w:r>
        <w:t>Uỷ</w:t>
      </w:r>
      <w:r w:rsidRPr="003A4FBA">
        <w:t xml:space="preserve"> ban nhân dân Tỉnh.</w:t>
      </w:r>
    </w:p>
  </w:footnote>
  <w:footnote w:id="7">
    <w:p w:rsidR="00383C63" w:rsidRDefault="00383C63" w:rsidP="004517D4">
      <w:pPr>
        <w:pStyle w:val="FootnoteText"/>
      </w:pPr>
      <w:r w:rsidRPr="003A4FBA">
        <w:rPr>
          <w:rStyle w:val="FootnoteReference"/>
        </w:rPr>
        <w:footnoteRef/>
      </w:r>
      <w:r w:rsidRPr="003A4FBA">
        <w:t xml:space="preserve"> Quyết định số 70/QĐ-UBND-TL ngày 12/4/2021 của </w:t>
      </w:r>
      <w:r>
        <w:t>Uỷ</w:t>
      </w:r>
      <w:r w:rsidRPr="003A4FBA">
        <w:t xml:space="preserve"> ban nhân dân Tỉnh.</w:t>
      </w:r>
    </w:p>
  </w:footnote>
  <w:footnote w:id="8">
    <w:p w:rsidR="00383C63" w:rsidRPr="000E69BF" w:rsidRDefault="00383C63" w:rsidP="004517D4">
      <w:pPr>
        <w:pStyle w:val="FootnoteText"/>
      </w:pPr>
      <w:r>
        <w:rPr>
          <w:rStyle w:val="FootnoteReference"/>
        </w:rPr>
        <w:footnoteRef/>
      </w:r>
      <w:r>
        <w:t xml:space="preserve"> </w:t>
      </w:r>
      <w:r w:rsidRPr="000E69BF">
        <w:t xml:space="preserve">Công văn </w:t>
      </w:r>
      <w:r w:rsidRPr="000E69BF">
        <w:rPr>
          <w:lang w:val="vi-VN"/>
        </w:rPr>
        <w:t xml:space="preserve">số </w:t>
      </w:r>
      <w:r>
        <w:rPr>
          <w:lang w:val="vi-VN"/>
        </w:rPr>
        <w:t xml:space="preserve">1744/SKHĐT-ĐKKD ngày 24/10/2014. </w:t>
      </w:r>
    </w:p>
  </w:footnote>
  <w:footnote w:id="9">
    <w:p w:rsidR="00383C63" w:rsidRPr="000E69BF" w:rsidRDefault="00383C63" w:rsidP="004517D4">
      <w:pPr>
        <w:pStyle w:val="FootnoteText"/>
      </w:pPr>
      <w:r w:rsidRPr="000E69BF">
        <w:rPr>
          <w:rStyle w:val="FootnoteReference"/>
        </w:rPr>
        <w:footnoteRef/>
      </w:r>
      <w:r w:rsidRPr="000E69BF">
        <w:t xml:space="preserve"> Trong đó bao gồm 205 HTX đang hoạt động; 13 HTX đã giải thể</w:t>
      </w:r>
    </w:p>
  </w:footnote>
  <w:footnote w:id="10">
    <w:p w:rsidR="00383C63" w:rsidRPr="0065767C" w:rsidRDefault="00383C63" w:rsidP="0065767C">
      <w:pPr>
        <w:pStyle w:val="FootnoteText"/>
        <w:jc w:val="both"/>
        <w:rPr>
          <w:color w:val="000000"/>
          <w:lang w:val="vi-VN"/>
        </w:rPr>
      </w:pPr>
      <w:r w:rsidRPr="0065767C">
        <w:rPr>
          <w:color w:val="000000"/>
          <w:vertAlign w:val="superscript"/>
          <w:lang w:val="vi-VN"/>
        </w:rPr>
        <w:footnoteRef/>
      </w:r>
      <w:r w:rsidRPr="0065767C">
        <w:rPr>
          <w:color w:val="000000"/>
          <w:lang w:val="vi-VN"/>
        </w:rPr>
        <w:t xml:space="preserve"> HTX Long Phú Thuận, xã Long Thuận, huyện Hồng Ngự; HTX số 2 Phú hiệp, xã Phú Hiệp, huyện Tam Nông </w:t>
      </w:r>
    </w:p>
  </w:footnote>
  <w:footnote w:id="11">
    <w:p w:rsidR="00383C63" w:rsidRPr="0065767C" w:rsidRDefault="00383C63" w:rsidP="004517D4">
      <w:pPr>
        <w:pStyle w:val="FootnoteText"/>
        <w:jc w:val="both"/>
        <w:rPr>
          <w:color w:val="000000"/>
          <w:lang w:val="vi-VN"/>
        </w:rPr>
      </w:pPr>
      <w:r w:rsidRPr="0065767C">
        <w:rPr>
          <w:color w:val="000000"/>
          <w:vertAlign w:val="superscript"/>
          <w:lang w:val="vi-VN"/>
        </w:rPr>
        <w:footnoteRef/>
      </w:r>
      <w:r w:rsidRPr="0065767C">
        <w:rPr>
          <w:color w:val="000000"/>
          <w:vertAlign w:val="superscript"/>
          <w:lang w:val="vi-VN"/>
        </w:rPr>
        <w:t xml:space="preserve"> </w:t>
      </w:r>
      <w:r w:rsidRPr="0065767C">
        <w:rPr>
          <w:color w:val="000000"/>
          <w:lang w:val="vi-VN"/>
        </w:rPr>
        <w:t>Kiểm tra tình hình hoạt động 09 HTXNN tham gia xây dựng mô hình HTX kiểu mới của Tỉnh giai đoạn 2016</w:t>
      </w:r>
      <w:r>
        <w:rPr>
          <w:color w:val="000000"/>
        </w:rPr>
        <w:t xml:space="preserve"> </w:t>
      </w:r>
      <w:r w:rsidRPr="0065767C">
        <w:rPr>
          <w:color w:val="000000"/>
          <w:lang w:val="vi-VN"/>
        </w:rPr>
        <w:t xml:space="preserve">-2020; 02 HTX vận tải; làm việc với việc </w:t>
      </w:r>
      <w:r w:rsidRPr="002E68F4">
        <w:rPr>
          <w:color w:val="000000"/>
          <w:lang w:val="vi-VN"/>
        </w:rPr>
        <w:t xml:space="preserve">Phòng Tài chính </w:t>
      </w:r>
      <w:r w:rsidRPr="0065767C">
        <w:rPr>
          <w:color w:val="000000"/>
          <w:lang w:val="vi-VN"/>
        </w:rPr>
        <w:t>-</w:t>
      </w:r>
      <w:r w:rsidRPr="002E68F4">
        <w:rPr>
          <w:color w:val="000000"/>
          <w:lang w:val="vi-VN"/>
        </w:rPr>
        <w:t xml:space="preserve"> Kế hoạch, Phòng </w:t>
      </w:r>
      <w:r w:rsidRPr="0065767C">
        <w:rPr>
          <w:color w:val="000000"/>
          <w:lang w:val="vi-VN"/>
        </w:rPr>
        <w:t>Nông thôn</w:t>
      </w:r>
      <w:r w:rsidRPr="002E68F4">
        <w:rPr>
          <w:color w:val="000000"/>
          <w:lang w:val="vi-VN"/>
        </w:rPr>
        <w:t xml:space="preserve"> và </w:t>
      </w:r>
      <w:r w:rsidRPr="0065767C">
        <w:rPr>
          <w:color w:val="000000"/>
          <w:lang w:val="vi-VN"/>
        </w:rPr>
        <w:t>PTNT</w:t>
      </w:r>
      <w:r w:rsidRPr="002E68F4">
        <w:rPr>
          <w:color w:val="000000"/>
          <w:lang w:val="vi-VN"/>
        </w:rPr>
        <w:t xml:space="preserve"> các huyện về </w:t>
      </w:r>
      <w:r w:rsidRPr="00334E36">
        <w:rPr>
          <w:color w:val="000000"/>
          <w:lang w:val="vi-VN"/>
        </w:rPr>
        <w:t xml:space="preserve">tình hình thực hiện các nguồn vốn hỗ trợ </w:t>
      </w:r>
      <w:r>
        <w:rPr>
          <w:color w:val="000000"/>
        </w:rPr>
        <w:t>HTX</w:t>
      </w:r>
      <w:r>
        <w:rPr>
          <w:color w:val="000000"/>
          <w:lang w:val="vi-VN"/>
        </w:rPr>
        <w:t xml:space="preserve">, vận động tuyên truyền thành lập mới HTX theo Kế hoạch </w:t>
      </w:r>
      <w:r w:rsidRPr="0065767C">
        <w:rPr>
          <w:color w:val="000000"/>
          <w:lang w:val="vi-VN"/>
        </w:rPr>
        <w:t xml:space="preserve">234/KH-UBND ngày 19/10/2019 của UBND Tỉnh về việc triển khai thực hiện Quyết định 461/QĐ-TTg của Thủ tướng Chính phú; kiểm tra kết quả thực hiện Nghị quyết 176/2018/NQ-HĐND về hỗ trợ lao động trẻ về làm việc tại HTX; </w:t>
      </w:r>
      <w:r w:rsidRPr="002E68F4">
        <w:rPr>
          <w:color w:val="000000"/>
          <w:lang w:val="vi-VN"/>
        </w:rPr>
        <w:t>các HTX ngừng hoạt động nhiều năm</w:t>
      </w:r>
      <w:r w:rsidRPr="0065767C">
        <w:rPr>
          <w:color w:val="000000"/>
          <w:lang w:val="vi-VN"/>
        </w:rPr>
        <w:t xml:space="preserve">. </w:t>
      </w:r>
    </w:p>
  </w:footnote>
  <w:footnote w:id="12">
    <w:p w:rsidR="00383C63" w:rsidRPr="00540B42" w:rsidRDefault="00383C63" w:rsidP="0065767C">
      <w:pPr>
        <w:pStyle w:val="FootnoteText"/>
        <w:jc w:val="both"/>
      </w:pPr>
      <w:r w:rsidRPr="0065767C">
        <w:rPr>
          <w:color w:val="000000"/>
          <w:vertAlign w:val="superscript"/>
          <w:lang w:val="vi-VN"/>
        </w:rPr>
        <w:footnoteRef/>
      </w:r>
      <w:r w:rsidRPr="0065767C">
        <w:rPr>
          <w:color w:val="000000"/>
          <w:vertAlign w:val="superscript"/>
          <w:lang w:val="vi-VN"/>
        </w:rPr>
        <w:t xml:space="preserve"> </w:t>
      </w:r>
      <w:r w:rsidRPr="0065767C">
        <w:rPr>
          <w:color w:val="000000"/>
          <w:lang w:val="vi-VN"/>
        </w:rPr>
        <w:t>Điều 9 Thông tư số 01/2020/TT-BKHĐT ngày 19/02/2020 của Bộ Kế hoạch và Đầu tư quy định thời gian HTX báo cáo hàng năm chậm nhất vào ngày 15/12, trong khi đa số các HTX tiến hành xong Đại hội thành viên hoặc theo mùa vụ.</w:t>
      </w:r>
    </w:p>
  </w:footnote>
  <w:footnote w:id="13">
    <w:p w:rsidR="00383C63" w:rsidRPr="00EE7DD7" w:rsidRDefault="00383C63" w:rsidP="004517D4">
      <w:pPr>
        <w:pStyle w:val="FootnoteText"/>
      </w:pPr>
      <w:r w:rsidRPr="00EE7DD7">
        <w:rPr>
          <w:rStyle w:val="FootnoteReference"/>
        </w:rPr>
        <w:footnoteRef/>
      </w:r>
      <w:r>
        <w:t>T</w:t>
      </w:r>
      <w:r w:rsidRPr="00EE7DD7">
        <w:t>hông qua Liên minh Hợp tác xã Tỉnh;</w:t>
      </w:r>
    </w:p>
  </w:footnote>
  <w:footnote w:id="14">
    <w:p w:rsidR="00383C63" w:rsidRDefault="00383C63" w:rsidP="004517D4">
      <w:pPr>
        <w:pStyle w:val="FootnoteText"/>
      </w:pPr>
      <w:r w:rsidRPr="00EE7DD7">
        <w:rPr>
          <w:rStyle w:val="FootnoteReference"/>
        </w:rPr>
        <w:footnoteRef/>
      </w:r>
      <w:r w:rsidRPr="00EE7DD7">
        <w:t xml:space="preserve"> Thông qua Sở Nông nghiệp và PTTNT.</w:t>
      </w:r>
    </w:p>
  </w:footnote>
  <w:footnote w:id="15">
    <w:p w:rsidR="00383C63" w:rsidRPr="000C766D" w:rsidRDefault="00383C63" w:rsidP="000C766D">
      <w:pPr>
        <w:pStyle w:val="FootnoteText"/>
        <w:jc w:val="both"/>
      </w:pPr>
      <w:r w:rsidRPr="000C766D">
        <w:rPr>
          <w:vertAlign w:val="superscript"/>
        </w:rPr>
        <w:footnoteRef/>
      </w:r>
      <w:r w:rsidRPr="000C766D">
        <w:rPr>
          <w:vertAlign w:val="superscript"/>
        </w:rPr>
        <w:t xml:space="preserve">  </w:t>
      </w:r>
      <w:r w:rsidRPr="000C766D">
        <w:t xml:space="preserve">HTX Giống NN Định An, </w:t>
      </w:r>
      <w:r>
        <w:t xml:space="preserve">huyện </w:t>
      </w:r>
      <w:r w:rsidRPr="000C766D">
        <w:t>Lấp Vò, diện tích 26.151,7 m</w:t>
      </w:r>
      <w:r w:rsidRPr="000C766D">
        <w:rPr>
          <w:vertAlign w:val="superscript"/>
        </w:rPr>
        <w:t>2</w:t>
      </w:r>
      <w:r w:rsidRPr="000C766D">
        <w:t xml:space="preserve">, (cho thuê đất năm 2016); HTX Dịch vụ NN Bình Thành, </w:t>
      </w:r>
      <w:r>
        <w:t xml:space="preserve">huyện </w:t>
      </w:r>
      <w:r w:rsidRPr="000C766D">
        <w:t>Lấp Vò, diện tích 3.534,3 m</w:t>
      </w:r>
      <w:r w:rsidRPr="000C766D">
        <w:rPr>
          <w:vertAlign w:val="superscript"/>
        </w:rPr>
        <w:t>2</w:t>
      </w:r>
      <w:r w:rsidRPr="000C766D">
        <w:t xml:space="preserve">, (cho thuê đất năm 2016); HTX Đa ngành Thông Bình, </w:t>
      </w:r>
      <w:r>
        <w:t xml:space="preserve">huyện </w:t>
      </w:r>
      <w:r w:rsidRPr="000C766D">
        <w:t>Tân Hồng, diện tích 2.106,2 m</w:t>
      </w:r>
      <w:r w:rsidRPr="000C766D">
        <w:rPr>
          <w:vertAlign w:val="superscript"/>
        </w:rPr>
        <w:t>2</w:t>
      </w:r>
      <w:r w:rsidRPr="000C766D">
        <w:t xml:space="preserve"> (cho thuê đất năm 2018); HTX NN Láng Biển, </w:t>
      </w:r>
      <w:r>
        <w:t xml:space="preserve">huyện </w:t>
      </w:r>
      <w:r w:rsidRPr="000C766D">
        <w:t>Tháp Mười, diện tích 3.000 m</w:t>
      </w:r>
      <w:r w:rsidRPr="000C766D">
        <w:rPr>
          <w:vertAlign w:val="superscript"/>
        </w:rPr>
        <w:t>2</w:t>
      </w:r>
      <w:r w:rsidRPr="000C766D">
        <w:t xml:space="preserve"> (cho thuê đất năm 2020); HTX sản xuất và tiêu thụ cá Điêu Hồng Bình Thạnh, huyện Cao Lãnh diện tích 47.360,5 m</w:t>
      </w:r>
      <w:r w:rsidRPr="00BC2682">
        <w:rPr>
          <w:vertAlign w:val="superscript"/>
        </w:rPr>
        <w:t xml:space="preserve">2 </w:t>
      </w:r>
      <w:r w:rsidRPr="000C766D">
        <w:t>(cho thuê đất năm 2016); HTX Dịch vụ NN Thắng Lợi, Tháp Mười, diện tích 2.998,3 m</w:t>
      </w:r>
      <w:r w:rsidRPr="00BC2682">
        <w:rPr>
          <w:vertAlign w:val="superscript"/>
        </w:rPr>
        <w:t xml:space="preserve">2 </w:t>
      </w:r>
      <w:r w:rsidRPr="000C766D">
        <w:t xml:space="preserve">(chưa xác lập thủ tục thuê đất do chưa rõ về nguồn gốc đất). </w:t>
      </w:r>
    </w:p>
    <w:p w:rsidR="00383C63" w:rsidRPr="00DA3505" w:rsidRDefault="00383C63" w:rsidP="000C766D">
      <w:pPr>
        <w:pStyle w:val="FootnoteText"/>
        <w:jc w:val="both"/>
        <w:rPr>
          <w:szCs w:val="22"/>
          <w:vertAlign w:val="superscript"/>
        </w:rPr>
      </w:pPr>
      <w:r>
        <w:t xml:space="preserve">   </w:t>
      </w:r>
      <w:r w:rsidRPr="000C766D">
        <w:t xml:space="preserve">Các CN Liên hiệp HTX Thương mại </w:t>
      </w:r>
      <w:r>
        <w:t>T</w:t>
      </w:r>
      <w:r w:rsidRPr="000C766D">
        <w:t>hành phố Hồ Chí Minh (Siêu thị Coopmart Sa Đéc diện tích 11.792m</w:t>
      </w:r>
      <w:r w:rsidRPr="00BC2682">
        <w:rPr>
          <w:vertAlign w:val="superscript"/>
        </w:rPr>
        <w:t>2</w:t>
      </w:r>
      <w:r w:rsidRPr="000C766D">
        <w:t>, cho thuê đất năm 2015; siêu thị Coopmart Hồng Ngự, diện tích 5.497,1 m</w:t>
      </w:r>
      <w:r w:rsidRPr="00BC2682">
        <w:rPr>
          <w:vertAlign w:val="superscript"/>
        </w:rPr>
        <w:t>2</w:t>
      </w:r>
      <w:r w:rsidRPr="000C766D">
        <w:t xml:space="preserve"> cho thuê đất năm 2017; Siêu thị Coopma</w:t>
      </w:r>
      <w:r>
        <w:t>rt Tháp Mười, diện tích 5.263 m</w:t>
      </w:r>
      <w:r w:rsidRPr="00BC2682">
        <w:rPr>
          <w:vertAlign w:val="superscript"/>
        </w:rPr>
        <w:t>2</w:t>
      </w:r>
      <w:r w:rsidRPr="000C766D">
        <w:t xml:space="preserve"> cho thuê đất năm 2019; Siêu thị Coopm</w:t>
      </w:r>
      <w:r>
        <w:t>art Cao Lãnh, diện tích 7.480 m</w:t>
      </w:r>
      <w:r w:rsidRPr="00BC2682">
        <w:rPr>
          <w:vertAlign w:val="superscript"/>
        </w:rPr>
        <w:t>2</w:t>
      </w:r>
      <w:r w:rsidRPr="000C766D">
        <w:t xml:space="preserve"> cho thuê đất năm 2013).</w:t>
      </w:r>
      <w:r w:rsidRPr="00DA3505">
        <w:rPr>
          <w:rStyle w:val="FootnoteReference"/>
          <w:szCs w:val="22"/>
        </w:rPr>
        <w:t xml:space="preserve"> </w:t>
      </w:r>
    </w:p>
  </w:footnote>
  <w:footnote w:id="16">
    <w:p w:rsidR="00383C63" w:rsidRDefault="00383C63" w:rsidP="004517D4">
      <w:pPr>
        <w:spacing w:before="60"/>
        <w:ind w:left="142" w:hanging="142"/>
        <w:jc w:val="both"/>
      </w:pPr>
      <w:r>
        <w:rPr>
          <w:rStyle w:val="FootnoteReference"/>
        </w:rPr>
        <w:footnoteRef/>
      </w:r>
      <w:r>
        <w:rPr>
          <w:iCs/>
          <w:color w:val="000000"/>
          <w:sz w:val="20"/>
          <w:lang w:val="zu-ZA"/>
        </w:rPr>
        <w:t xml:space="preserve"> </w:t>
      </w:r>
      <w:r w:rsidRPr="00270329">
        <w:rPr>
          <w:iCs/>
          <w:color w:val="000000"/>
          <w:sz w:val="20"/>
          <w:lang w:val="zu-ZA"/>
        </w:rPr>
        <w:t xml:space="preserve">Tham gia hội chợ, triển lãm </w:t>
      </w:r>
      <w:r w:rsidRPr="00270329">
        <w:rPr>
          <w:color w:val="000000"/>
          <w:sz w:val="20"/>
          <w:lang w:val="zu-ZA"/>
        </w:rPr>
        <w:t xml:space="preserve">trong nước: </w:t>
      </w:r>
      <w:r>
        <w:rPr>
          <w:color w:val="000000"/>
          <w:sz w:val="20"/>
          <w:lang w:val="zu-ZA"/>
        </w:rPr>
        <w:t>h</w:t>
      </w:r>
      <w:r w:rsidRPr="00270329">
        <w:rPr>
          <w:color w:val="000000"/>
          <w:sz w:val="20"/>
          <w:lang w:val="zu-ZA"/>
        </w:rPr>
        <w:t xml:space="preserve">ỗ trợ 50%chi phí thuê gian hàng cho 01 gian hàng tiêu chuẩn và hỗ trợ chi phí ăn, ở, đi lại... nước ngoài là 100%. </w:t>
      </w:r>
      <w:r w:rsidRPr="00270329">
        <w:rPr>
          <w:iCs/>
          <w:color w:val="000000"/>
          <w:sz w:val="20"/>
          <w:lang w:val="zu-ZA"/>
        </w:rPr>
        <w:t>Khảo sát, nghiên cứu thị trường t</w:t>
      </w:r>
      <w:r w:rsidRPr="00270329">
        <w:rPr>
          <w:color w:val="000000"/>
          <w:sz w:val="20"/>
          <w:lang w:val="zu-ZA"/>
        </w:rPr>
        <w:t xml:space="preserve">rong nước và ngoài nước: </w:t>
      </w:r>
      <w:r>
        <w:rPr>
          <w:color w:val="000000"/>
          <w:sz w:val="20"/>
          <w:lang w:val="zu-ZA"/>
        </w:rPr>
        <w:t>h</w:t>
      </w:r>
      <w:r w:rsidRPr="00270329">
        <w:rPr>
          <w:color w:val="000000"/>
          <w:sz w:val="20"/>
          <w:lang w:val="zu-ZA"/>
        </w:rPr>
        <w:t>ỗ trợ 100% tiền vé máy bay (khứ hồi) hoặc chi phí tàu, xe theo kế hoạch</w:t>
      </w:r>
      <w:r w:rsidRPr="002E2485">
        <w:rPr>
          <w:color w:val="000000"/>
          <w:sz w:val="20"/>
          <w:lang w:val="zu-ZA"/>
        </w:rPr>
        <w:t>.</w:t>
      </w:r>
    </w:p>
  </w:footnote>
  <w:footnote w:id="17">
    <w:p w:rsidR="00383C63" w:rsidRPr="00C57729" w:rsidRDefault="00383C63" w:rsidP="004517D4">
      <w:pPr>
        <w:jc w:val="both"/>
        <w:rPr>
          <w:sz w:val="20"/>
          <w:vertAlign w:val="superscript"/>
        </w:rPr>
      </w:pPr>
      <w:r w:rsidRPr="004A07DE">
        <w:rPr>
          <w:sz w:val="20"/>
          <w:vertAlign w:val="superscript"/>
          <w:lang w:val="zu-ZA" w:bidi="en-US"/>
        </w:rPr>
        <w:t>(</w:t>
      </w:r>
      <w:r w:rsidRPr="004A07DE">
        <w:rPr>
          <w:rStyle w:val="FootnoteReference"/>
          <w:sz w:val="20"/>
        </w:rPr>
        <w:footnoteRef/>
      </w:r>
      <w:r w:rsidRPr="004A07DE">
        <w:rPr>
          <w:sz w:val="20"/>
          <w:vertAlign w:val="superscript"/>
          <w:lang w:val="zu-ZA" w:bidi="en-US"/>
        </w:rPr>
        <w:t>)</w:t>
      </w:r>
      <w:r w:rsidRPr="00D71294">
        <w:rPr>
          <w:sz w:val="20"/>
          <w:lang w:val="zu-ZA" w:bidi="en-US"/>
        </w:rPr>
        <w:t>H</w:t>
      </w:r>
      <w:r w:rsidRPr="00D71294">
        <w:rPr>
          <w:sz w:val="20"/>
        </w:rPr>
        <w:t xml:space="preserve">ỗ trợ quảng bá nhãn hiệu, thương hiệu, sản phẩm là 15.000.000 đồng/lần/đơn vị. Hỗ trợ xây dựng các điểm giới thiệu, trưng bày sản phẩm, bán hàng và kho trung chuyển hàng hóa ở ngoài Tỉnh: tối đa 30.000.000 </w:t>
      </w:r>
      <w:r w:rsidRPr="00C57729">
        <w:rPr>
          <w:sz w:val="20"/>
        </w:rPr>
        <w:t>đồng/lần/điểm</w:t>
      </w:r>
    </w:p>
  </w:footnote>
  <w:footnote w:id="18">
    <w:p w:rsidR="00383C63" w:rsidRPr="005E40F8" w:rsidRDefault="00383C63" w:rsidP="001253E2">
      <w:pPr>
        <w:pStyle w:val="FootnoteText"/>
        <w:jc w:val="both"/>
        <w:rPr>
          <w:color w:val="FF0000"/>
        </w:rPr>
      </w:pPr>
      <w:r w:rsidRPr="00C57729">
        <w:rPr>
          <w:rStyle w:val="FootnoteReference"/>
        </w:rPr>
        <w:footnoteRef/>
      </w:r>
      <w:r w:rsidRPr="00C57729">
        <w:t xml:space="preserve"> Huyện Tháp Mười hỗ trợ thêm 15 triệu đồng/HTX, huyện Lai Vung hỗ trợ thêm 5 triệu đồng/HTX; huyện Thanh Bình hỗ trợ củng cố  01 HTX với kinh phí 100 triệu đồng</w:t>
      </w:r>
    </w:p>
  </w:footnote>
  <w:footnote w:id="19">
    <w:p w:rsidR="00383C63" w:rsidRPr="00107FEA" w:rsidRDefault="00383C63" w:rsidP="004517D4">
      <w:pPr>
        <w:pStyle w:val="FootnoteText"/>
      </w:pPr>
      <w:r>
        <w:rPr>
          <w:rStyle w:val="FootnoteReference"/>
        </w:rPr>
        <w:footnoteRef/>
      </w:r>
      <w:r>
        <w:rPr>
          <w:spacing w:val="-4"/>
          <w:lang w:val="af-ZA"/>
        </w:rPr>
        <w:t xml:space="preserve"> </w:t>
      </w:r>
      <w:r w:rsidRPr="00107FEA">
        <w:rPr>
          <w:spacing w:val="-4"/>
          <w:lang w:val="af-ZA"/>
        </w:rPr>
        <w:t xml:space="preserve">40 </w:t>
      </w:r>
      <w:r>
        <w:rPr>
          <w:spacing w:val="-4"/>
          <w:lang w:val="af-ZA"/>
        </w:rPr>
        <w:t>HTX</w:t>
      </w:r>
      <w:r w:rsidRPr="00107FEA">
        <w:rPr>
          <w:spacing w:val="-4"/>
          <w:lang w:val="af-ZA"/>
        </w:rPr>
        <w:t xml:space="preserve">, 01 </w:t>
      </w:r>
      <w:r>
        <w:rPr>
          <w:spacing w:val="-4"/>
          <w:lang w:val="af-ZA"/>
        </w:rPr>
        <w:t>THT</w:t>
      </w:r>
      <w:r w:rsidRPr="00107FEA">
        <w:rPr>
          <w:spacing w:val="-4"/>
          <w:lang w:val="af-ZA"/>
        </w:rPr>
        <w:t>, 03 Công ty</w:t>
      </w:r>
    </w:p>
  </w:footnote>
  <w:footnote w:id="20">
    <w:p w:rsidR="00383C63" w:rsidRPr="00107FEA" w:rsidRDefault="00383C63" w:rsidP="004517D4">
      <w:pPr>
        <w:pStyle w:val="FootnoteText"/>
      </w:pPr>
      <w:r w:rsidRPr="00107FEA">
        <w:rPr>
          <w:rStyle w:val="FootnoteReference"/>
        </w:rPr>
        <w:footnoteRef/>
      </w:r>
      <w:r>
        <w:rPr>
          <w:spacing w:val="-4"/>
          <w:lang w:val="af-ZA"/>
        </w:rPr>
        <w:t xml:space="preserve"> </w:t>
      </w:r>
      <w:r w:rsidRPr="00107FEA">
        <w:rPr>
          <w:spacing w:val="-4"/>
          <w:lang w:val="af-ZA"/>
        </w:rPr>
        <w:t>Công ty Lương thực Đồng Tháp; Công ty Cổ phần Sài Gòn Lương</w:t>
      </w:r>
      <w:r>
        <w:rPr>
          <w:spacing w:val="-4"/>
          <w:lang w:val="af-ZA"/>
        </w:rPr>
        <w:t xml:space="preserve"> thực; và HTX DVNN Thuận Tiến</w:t>
      </w:r>
      <w:r w:rsidRPr="00107FEA">
        <w:rPr>
          <w:spacing w:val="-4"/>
          <w:lang w:val="af-ZA"/>
        </w:rPr>
        <w:t>;</w:t>
      </w:r>
    </w:p>
  </w:footnote>
  <w:footnote w:id="21">
    <w:p w:rsidR="00383C63" w:rsidRPr="006A7479" w:rsidRDefault="00383C63" w:rsidP="004517D4">
      <w:pPr>
        <w:pStyle w:val="FootnoteText"/>
        <w:jc w:val="both"/>
      </w:pPr>
      <w:r w:rsidRPr="000155A4">
        <w:rPr>
          <w:rStyle w:val="FootnoteReference"/>
        </w:rPr>
        <w:footnoteRef/>
      </w:r>
      <w:r>
        <w:rPr>
          <w:lang w:val="af-ZA"/>
        </w:rPr>
        <w:t xml:space="preserve"> </w:t>
      </w:r>
      <w:r w:rsidRPr="000155A4">
        <w:rPr>
          <w:lang w:val="af-ZA"/>
        </w:rPr>
        <w:t xml:space="preserve">Mô hình tưới tiết kiệm ướt khô xen kẻ; mô hình canh tác lúa lý tưởng; mô hình sản xuất lúa giảm giá thành bằng cách bón phân vùi vừa tiết kiệm chi phí vừa giảm phát thải khí nhà kính; mô hình sấy ớt bằng năng lượng </w:t>
      </w:r>
      <w:r w:rsidRPr="006A7479">
        <w:rPr>
          <w:lang w:val="af-ZA"/>
        </w:rPr>
        <w:t xml:space="preserve">mặt trời; </w:t>
      </w:r>
      <w:r>
        <w:rPr>
          <w:lang w:val="af-ZA"/>
        </w:rPr>
        <w:t>n</w:t>
      </w:r>
      <w:r w:rsidRPr="006A7479">
        <w:rPr>
          <w:lang w:val="af-ZA"/>
        </w:rPr>
        <w:t>ghiên cứu, lai tạo các giống lúa mới kháng sâu bệnh, chống chịu h</w:t>
      </w:r>
      <w:r>
        <w:rPr>
          <w:lang w:val="af-ZA"/>
        </w:rPr>
        <w:t>ạn tốt nhằm giảm sử dụng thuốc bảo vệ thực vật</w:t>
      </w:r>
      <w:r w:rsidRPr="006A7479">
        <w:rPr>
          <w:lang w:val="af-ZA"/>
        </w:rPr>
        <w:t>....</w:t>
      </w:r>
    </w:p>
  </w:footnote>
  <w:footnote w:id="22">
    <w:p w:rsidR="00383C63" w:rsidRPr="006A7479" w:rsidRDefault="00383C63" w:rsidP="004517D4">
      <w:pPr>
        <w:pStyle w:val="FootnoteText"/>
        <w:jc w:val="both"/>
      </w:pPr>
      <w:r w:rsidRPr="006A7479">
        <w:rPr>
          <w:rStyle w:val="FootnoteReference"/>
        </w:rPr>
        <w:footnoteRef/>
      </w:r>
      <w:r w:rsidR="0047148F">
        <w:rPr>
          <w:lang w:val="zu-ZA"/>
        </w:rPr>
        <w:t xml:space="preserve"> </w:t>
      </w:r>
      <w:r w:rsidRPr="006A7479">
        <w:rPr>
          <w:lang w:val="zu-ZA"/>
        </w:rPr>
        <w:t>Quyết định 2261/QĐ-TTg của TTCP ngày 15/01/2014</w:t>
      </w:r>
      <w:r w:rsidR="0047148F">
        <w:rPr>
          <w:lang w:val="zu-ZA"/>
        </w:rPr>
        <w:t xml:space="preserve"> của Thủ tướng Chính phủ</w:t>
      </w:r>
      <w:r w:rsidRPr="006A7479">
        <w:rPr>
          <w:lang w:val="zu-ZA"/>
        </w:rPr>
        <w:t xml:space="preserve"> về Chương trình hỗ trợ phát triển KTTT, HTX giai đoạn 2015 - 2020 đã ban hành </w:t>
      </w:r>
      <w:r w:rsidRPr="006A7479">
        <w:rPr>
          <w:spacing w:val="2"/>
          <w:lang w:val="zu-ZA"/>
        </w:rPr>
        <w:t xml:space="preserve">từ </w:t>
      </w:r>
      <w:r w:rsidRPr="006A7479">
        <w:rPr>
          <w:lang w:val="zu-ZA"/>
        </w:rPr>
        <w:t xml:space="preserve">năm 2014, nhưng đến năm 2016  Bộ Tài chính mới ban hành Thông tư, văn bản hướng dẫn thực hiện các chính sách hỗ trợ. Quyết định định 1804/QĐ-TTg ngày 15/01/2014 </w:t>
      </w:r>
      <w:r w:rsidR="0047148F" w:rsidRPr="0047148F">
        <w:rPr>
          <w:lang w:val="zu-ZA"/>
        </w:rPr>
        <w:t xml:space="preserve">của Thủ tướng Chính phủ </w:t>
      </w:r>
      <w:r w:rsidRPr="006A7479">
        <w:rPr>
          <w:lang w:val="zu-ZA"/>
        </w:rPr>
        <w:t xml:space="preserve">về Chương trình hỗ trợ phát triển HTX giai đoạn 2021 - 2025 đã ban hành </w:t>
      </w:r>
      <w:r w:rsidRPr="006A7479">
        <w:rPr>
          <w:spacing w:val="2"/>
          <w:lang w:val="zu-ZA"/>
        </w:rPr>
        <w:t xml:space="preserve">ngày 13/11/2020 nhưng đến ngày 12/8/2021 </w:t>
      </w:r>
      <w:r w:rsidRPr="006A7479">
        <w:rPr>
          <w:lang w:val="zu-ZA"/>
        </w:rPr>
        <w:t xml:space="preserve">Bộ Tài chính mới lấy ý kiến dự thảo Thông tư hướng dẫn </w:t>
      </w:r>
      <w:r w:rsidRPr="006A7479">
        <w:rPr>
          <w:lang w:val="vi-VN"/>
        </w:rPr>
        <w:t>cơ chế tài chính, quản lý, sử dụng kinh phí của Chương trình</w:t>
      </w:r>
      <w:r w:rsidRPr="006A7479">
        <w:t>.</w:t>
      </w:r>
    </w:p>
  </w:footnote>
  <w:footnote w:id="23">
    <w:p w:rsidR="00383C63" w:rsidRPr="001F0754" w:rsidRDefault="0047148F" w:rsidP="004517D4">
      <w:pPr>
        <w:pStyle w:val="FootnoteText"/>
        <w:jc w:val="both"/>
      </w:pPr>
      <w:r>
        <w:t xml:space="preserve"> </w:t>
      </w:r>
      <w:r w:rsidR="00383C63" w:rsidRPr="006A7479">
        <w:rPr>
          <w:rStyle w:val="FootnoteReference"/>
        </w:rPr>
        <w:footnoteRef/>
      </w:r>
      <w:r>
        <w:t xml:space="preserve"> </w:t>
      </w:r>
      <w:r w:rsidR="00383C63" w:rsidRPr="006A7479">
        <w:t>Trước đây hoạt động tín dụng nội bộ HTX theo Luật HTX 2003 được</w:t>
      </w:r>
      <w:r>
        <w:t xml:space="preserve"> </w:t>
      </w:r>
      <w:r w:rsidR="00383C63" w:rsidRPr="006A7479">
        <w:rPr>
          <w:shd w:val="clear" w:color="auto" w:fill="FFFFFF"/>
        </w:rPr>
        <w:t xml:space="preserve">Ngân hàng </w:t>
      </w:r>
      <w:r>
        <w:rPr>
          <w:shd w:val="clear" w:color="auto" w:fill="FFFFFF"/>
        </w:rPr>
        <w:t>Nhà nước Việt Nam</w:t>
      </w:r>
      <w:r w:rsidR="00383C63" w:rsidRPr="006A7479">
        <w:rPr>
          <w:shd w:val="clear" w:color="auto" w:fill="FFFFFF"/>
        </w:rPr>
        <w:t xml:space="preserve"> hướng dẫn</w:t>
      </w:r>
      <w:r w:rsidR="00383C63" w:rsidRPr="006A7479">
        <w:t xml:space="preserve"> tại Thông tư </w:t>
      </w:r>
      <w:r w:rsidR="00383C63" w:rsidRPr="006A7479">
        <w:rPr>
          <w:shd w:val="clear" w:color="auto" w:fill="FFFFFF"/>
        </w:rPr>
        <w:t>số 06/2004/TT-NHNN ngày 27/9/2004, nhưng đã bị bãi bỏ theo Thông tư số</w:t>
      </w:r>
      <w:r w:rsidR="00383C63" w:rsidRPr="006A7479">
        <w:rPr>
          <w:shd w:val="clear" w:color="auto" w:fill="FFFFFF"/>
          <w:lang w:val="vi-VN"/>
        </w:rPr>
        <w:t> </w:t>
      </w:r>
      <w:r w:rsidR="00383C63" w:rsidRPr="006A7479">
        <w:rPr>
          <w:shd w:val="clear" w:color="auto" w:fill="FFFFFF"/>
        </w:rPr>
        <w:t>04/2017</w:t>
      </w:r>
      <w:r w:rsidR="00383C63" w:rsidRPr="006A7479">
        <w:rPr>
          <w:shd w:val="clear" w:color="auto" w:fill="FFFFFF"/>
          <w:lang w:val="vi-VN"/>
        </w:rPr>
        <w:t>/</w:t>
      </w:r>
      <w:r w:rsidR="00383C63" w:rsidRPr="006A7479">
        <w:rPr>
          <w:shd w:val="clear" w:color="auto" w:fill="FFFFFF"/>
        </w:rPr>
        <w:t>TT</w:t>
      </w:r>
      <w:r w:rsidR="00383C63" w:rsidRPr="006A7479">
        <w:rPr>
          <w:shd w:val="clear" w:color="auto" w:fill="FFFFFF"/>
          <w:lang w:val="vi-VN"/>
        </w:rPr>
        <w:t>-</w:t>
      </w:r>
      <w:r w:rsidR="00383C63" w:rsidRPr="006A7479">
        <w:rPr>
          <w:shd w:val="clear" w:color="auto" w:fill="FFFFFF"/>
        </w:rPr>
        <w:t xml:space="preserve">NHNN ngày 28/6/2017 của </w:t>
      </w:r>
      <w:r>
        <w:rPr>
          <w:shd w:val="clear" w:color="auto" w:fill="FFFFFF"/>
        </w:rPr>
        <w:t xml:space="preserve">Thống đốc </w:t>
      </w:r>
      <w:r w:rsidR="00383C63" w:rsidRPr="006A7479">
        <w:rPr>
          <w:shd w:val="clear" w:color="auto" w:fill="FFFFFF"/>
        </w:rPr>
        <w:t>Ngân hàng NNVN.</w:t>
      </w:r>
    </w:p>
  </w:footnote>
  <w:footnote w:id="24">
    <w:p w:rsidR="00383C63" w:rsidRPr="000155A4" w:rsidRDefault="00383C63" w:rsidP="004517D4">
      <w:pPr>
        <w:pStyle w:val="FootnoteText"/>
      </w:pPr>
      <w:r w:rsidRPr="000155A4">
        <w:rPr>
          <w:rStyle w:val="FootnoteReference"/>
        </w:rPr>
        <w:footnoteRef/>
      </w:r>
      <w:r w:rsidR="0047148F">
        <w:t xml:space="preserve"> Đ</w:t>
      </w:r>
      <w:r w:rsidRPr="000155A4">
        <w:t xml:space="preserve">iểm g, </w:t>
      </w:r>
      <w:r w:rsidR="0047148F">
        <w:t>K</w:t>
      </w:r>
      <w:r w:rsidRPr="000155A4">
        <w:t>hoản 1, Điều 19 Nghị định 46/2014/NĐ-CP</w:t>
      </w:r>
    </w:p>
  </w:footnote>
  <w:footnote w:id="25">
    <w:p w:rsidR="00383C63" w:rsidRPr="000155A4" w:rsidRDefault="00383C63" w:rsidP="004517D4">
      <w:pPr>
        <w:pStyle w:val="FootnoteText"/>
      </w:pPr>
      <w:r w:rsidRPr="000155A4">
        <w:rPr>
          <w:rStyle w:val="FootnoteReference"/>
        </w:rPr>
        <w:footnoteRef/>
      </w:r>
      <w:r w:rsidRPr="000155A4">
        <w:t xml:space="preserve"> Công văn số 244/VPUBND-KT ngày 08/02/2021của Văn phòng UBND Tỉnh.</w:t>
      </w:r>
    </w:p>
  </w:footnote>
  <w:footnote w:id="26">
    <w:p w:rsidR="00383C63" w:rsidRPr="00C57729" w:rsidRDefault="00383C63" w:rsidP="005670D3">
      <w:pPr>
        <w:pStyle w:val="FootnoteText"/>
        <w:jc w:val="both"/>
      </w:pPr>
      <w:r w:rsidRPr="00C57729">
        <w:rPr>
          <w:rStyle w:val="FootnoteReference"/>
        </w:rPr>
        <w:footnoteRef/>
      </w:r>
      <w:r w:rsidRPr="00C57729">
        <w:t xml:space="preserve"> Theo Công văn số 2756/VPUBND-KT ngày 30/11/2020 của UBND Tỉnh về nội dung triển khai thực hiện </w:t>
      </w:r>
      <w:r w:rsidR="005670D3">
        <w:t>n</w:t>
      </w:r>
      <w:r w:rsidRPr="00C57729">
        <w:t xml:space="preserve">ghị quyết số 134/NQ-CP ngày 25/9/2020 của Chính phủ và Công văn số 1244-CV/TU ngày 18/8/2020 của Ban Thường vụ Tỉnh </w:t>
      </w:r>
      <w:r>
        <w:t>uỷ</w:t>
      </w:r>
      <w:r w:rsidRPr="00C57729">
        <w:t>.</w:t>
      </w:r>
    </w:p>
  </w:footnote>
  <w:footnote w:id="27">
    <w:p w:rsidR="00383C63" w:rsidRPr="007B5B3E" w:rsidRDefault="00383C63" w:rsidP="00F87243">
      <w:pPr>
        <w:pStyle w:val="FootnoteText"/>
        <w:jc w:val="both"/>
      </w:pPr>
      <w:r w:rsidRPr="00C57729">
        <w:rPr>
          <w:rStyle w:val="FootnoteReference"/>
        </w:rPr>
        <w:footnoteRef/>
      </w:r>
      <w:r w:rsidRPr="00C57729">
        <w:t xml:space="preserve"> có 274 mô hình HTXNN, </w:t>
      </w:r>
      <w:r w:rsidRPr="007B5B3E">
        <w:t xml:space="preserve">THT được hỗ trợ với tổng kinh phí hỗ trợ là 16.287,3 triệu đồng từ nguồn vốn Chương trình MTQG </w:t>
      </w:r>
      <w:r w:rsidR="00F87243">
        <w:t>X</w:t>
      </w:r>
      <w:r w:rsidRPr="007B5B3E">
        <w:t>ây dựng Nông thôn mới.</w:t>
      </w:r>
    </w:p>
  </w:footnote>
  <w:footnote w:id="28">
    <w:p w:rsidR="00383C63" w:rsidRPr="00C57729" w:rsidRDefault="00383C63" w:rsidP="004517D4">
      <w:pPr>
        <w:pStyle w:val="FootnoteText"/>
      </w:pPr>
      <w:r w:rsidRPr="00C57729">
        <w:rPr>
          <w:rStyle w:val="FootnoteReference"/>
        </w:rPr>
        <w:footnoteRef/>
      </w:r>
      <w:r w:rsidRPr="00C57729">
        <w:t xml:space="preserve"> HTX Dệt choàng L</w:t>
      </w:r>
      <w:r w:rsidR="002C387F">
        <w:t>ong Khánh và HTX May Quang Phúc.</w:t>
      </w:r>
    </w:p>
  </w:footnote>
  <w:footnote w:id="29">
    <w:p w:rsidR="00383C63" w:rsidRPr="00BC5060" w:rsidRDefault="00383C63" w:rsidP="004517D4">
      <w:pPr>
        <w:pStyle w:val="FootnoteText"/>
      </w:pPr>
      <w:r w:rsidRPr="00C57729">
        <w:rPr>
          <w:rStyle w:val="FootnoteReference"/>
        </w:rPr>
        <w:footnoteRef/>
      </w:r>
      <w:r w:rsidRPr="00C57729">
        <w:t xml:space="preserve"> HTX Đặc sản Đồng Tháp và HTX Sản xuất</w:t>
      </w:r>
      <w:r w:rsidR="002C387F">
        <w:t xml:space="preserve"> </w:t>
      </w:r>
      <w:r w:rsidRPr="00C57729">
        <w:t>tiêu thụ bột lọc Tân Phú Trung</w:t>
      </w:r>
      <w:r w:rsidR="002C387F">
        <w:t>.</w:t>
      </w:r>
    </w:p>
  </w:footnote>
  <w:footnote w:id="30">
    <w:p w:rsidR="00383C63" w:rsidRPr="008E1603" w:rsidRDefault="00383C63" w:rsidP="00180E66">
      <w:pPr>
        <w:pStyle w:val="FootnoteText"/>
        <w:jc w:val="both"/>
      </w:pPr>
      <w:r w:rsidRPr="00C57729">
        <w:rPr>
          <w:rStyle w:val="FootnoteReference"/>
        </w:rPr>
        <w:footnoteRef/>
      </w:r>
      <w:r w:rsidRPr="00C57729">
        <w:t xml:space="preserve"> </w:t>
      </w:r>
      <w:r w:rsidRPr="00180E66">
        <w:t xml:space="preserve">Trong đó: </w:t>
      </w:r>
      <w:r w:rsidR="00180E66">
        <w:t>n</w:t>
      </w:r>
      <w:r w:rsidRPr="00180E66">
        <w:t xml:space="preserve">ăm 2010 là 0,6; năm 2015 là 1,37, </w:t>
      </w:r>
      <w:r w:rsidR="00180E66">
        <w:t>n</w:t>
      </w:r>
      <w:r w:rsidRPr="00180E66">
        <w:t xml:space="preserve">ăm 2016 là 1,26; </w:t>
      </w:r>
      <w:r w:rsidR="00180E66">
        <w:t>n</w:t>
      </w:r>
      <w:r w:rsidR="000356B2">
        <w:t>ăm 2017 là  1,23</w:t>
      </w:r>
      <w:r w:rsidRPr="00180E66">
        <w:t xml:space="preserve">; </w:t>
      </w:r>
      <w:r w:rsidR="00180E66">
        <w:t>n</w:t>
      </w:r>
      <w:r w:rsidR="004A45E2">
        <w:t>ăm 2018 là 1,14</w:t>
      </w:r>
      <w:r w:rsidR="00180E66">
        <w:t xml:space="preserve">. </w:t>
      </w:r>
    </w:p>
  </w:footnote>
  <w:footnote w:id="31">
    <w:p w:rsidR="00383C63" w:rsidRPr="00B037CB" w:rsidRDefault="00383C63" w:rsidP="004517D4">
      <w:pPr>
        <w:pStyle w:val="FootnoteText"/>
      </w:pPr>
      <w:r w:rsidRPr="00B037CB">
        <w:rPr>
          <w:rStyle w:val="FootnoteReference"/>
        </w:rPr>
        <w:footnoteRef/>
      </w:r>
      <w:r w:rsidRPr="00B037CB">
        <w:t xml:space="preserve"> Triển khai hiệu quả các chính sách hỗ trợ phát triển KTTT, HTX theo cơ chế tại Quyết định số 1804/QĐ-TTg ngày 13/11/2020 của Thủ tướng Chính phủ.</w:t>
      </w:r>
    </w:p>
  </w:footnote>
  <w:footnote w:id="32">
    <w:p w:rsidR="00383C63" w:rsidRPr="000F30FE" w:rsidRDefault="00383C63" w:rsidP="004517D4">
      <w:pPr>
        <w:pStyle w:val="FootnoteText"/>
      </w:pPr>
      <w:r w:rsidRPr="000F30FE">
        <w:rPr>
          <w:rStyle w:val="FootnoteReference"/>
        </w:rPr>
        <w:footnoteRef/>
      </w:r>
      <w:r w:rsidRPr="000F30FE">
        <w:t xml:space="preserve"> Hiện nay nhiệm vụ về KTTT do thành viên BCĐ Chương trình Mục tiêu quốc gia Xây dựng Nông thôn mới và Tái cơ cấu ngành nông nghiệp Tỉnh thực hiện.</w:t>
      </w:r>
    </w:p>
  </w:footnote>
  <w:footnote w:id="33">
    <w:p w:rsidR="00383C63" w:rsidRPr="00EF135D" w:rsidRDefault="00383C63" w:rsidP="004517D4">
      <w:pPr>
        <w:pStyle w:val="FootnoteText"/>
        <w:jc w:val="both"/>
      </w:pPr>
      <w:r w:rsidRPr="00EF135D">
        <w:rPr>
          <w:rStyle w:val="FootnoteReference"/>
        </w:rPr>
        <w:footnoteRef/>
      </w:r>
      <w:r w:rsidRPr="00EF135D">
        <w:t xml:space="preserve"> Nghị định số 24/2014/NĐ-CP ngày 04/4/2014 của Chính phủ quy định tổ chức các cơ quan chuyên môn thuộc </w:t>
      </w:r>
      <w:r w:rsidR="00C740A6">
        <w:t>UBND</w:t>
      </w:r>
      <w:r w:rsidRPr="00EF135D">
        <w:t xml:space="preserve"> tỉnh, thành phố trực thuộc Trung ương.</w:t>
      </w:r>
    </w:p>
  </w:footnote>
  <w:footnote w:id="34">
    <w:p w:rsidR="00383C63" w:rsidRDefault="00383C63" w:rsidP="004517D4">
      <w:pPr>
        <w:pStyle w:val="FootnoteText"/>
        <w:jc w:val="both"/>
      </w:pPr>
      <w:r w:rsidRPr="00EF135D">
        <w:rPr>
          <w:rStyle w:val="FootnoteReference"/>
        </w:rPr>
        <w:footnoteRef/>
      </w:r>
      <w:r w:rsidRPr="00EF135D">
        <w:t xml:space="preserve"> Nghị định số 37/2014/NĐ-CP ngày 05/5/2014 của Chính phủ quy định tổ chức các cơ quan chuyên môn thuộc </w:t>
      </w:r>
      <w:r w:rsidR="00C740A6">
        <w:t>UBND</w:t>
      </w:r>
      <w:r w:rsidRPr="00EF135D">
        <w:t xml:space="preserve"> huyện, quận, thị xã, thành phố thuộc tỉnh, thành phố trực thuộc Trung 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06324"/>
      <w:docPartObj>
        <w:docPartGallery w:val="Page Numbers (Top of Page)"/>
        <w:docPartUnique/>
      </w:docPartObj>
    </w:sdtPr>
    <w:sdtEndPr>
      <w:rPr>
        <w:noProof/>
      </w:rPr>
    </w:sdtEndPr>
    <w:sdtContent>
      <w:p w:rsidR="00383C63" w:rsidRDefault="00383C63">
        <w:pPr>
          <w:pStyle w:val="Header"/>
          <w:jc w:val="center"/>
        </w:pPr>
        <w:r>
          <w:fldChar w:fldCharType="begin"/>
        </w:r>
        <w:r>
          <w:instrText xml:space="preserve"> PAGE   \* MERGEFORMAT </w:instrText>
        </w:r>
        <w:r>
          <w:fldChar w:fldCharType="separate"/>
        </w:r>
        <w:r w:rsidR="005D4505">
          <w:rPr>
            <w:noProof/>
          </w:rPr>
          <w:t>25</w:t>
        </w:r>
        <w:r>
          <w:rPr>
            <w:noProof/>
          </w:rPr>
          <w:fldChar w:fldCharType="end"/>
        </w:r>
      </w:p>
    </w:sdtContent>
  </w:sdt>
  <w:p w:rsidR="00383C63" w:rsidRDefault="00383C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 w15:restartNumberingAfterBreak="0">
    <w:nsid w:val="00137C66"/>
    <w:multiLevelType w:val="hybridMultilevel"/>
    <w:tmpl w:val="83BC574E"/>
    <w:lvl w:ilvl="0" w:tplc="9B047A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6E0833"/>
    <w:multiLevelType w:val="hybridMultilevel"/>
    <w:tmpl w:val="EEFE3F5A"/>
    <w:lvl w:ilvl="0" w:tplc="8F3EBCFE">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C9723C7"/>
    <w:multiLevelType w:val="hybridMultilevel"/>
    <w:tmpl w:val="F5568CD0"/>
    <w:lvl w:ilvl="0" w:tplc="7A8A8AA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DCC781E"/>
    <w:multiLevelType w:val="hybridMultilevel"/>
    <w:tmpl w:val="58C88008"/>
    <w:lvl w:ilvl="0" w:tplc="7EFCFD1A">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DB229C"/>
    <w:multiLevelType w:val="hybridMultilevel"/>
    <w:tmpl w:val="EB5EFA6A"/>
    <w:lvl w:ilvl="0" w:tplc="C50252F4">
      <w:numFmt w:val="bullet"/>
      <w:lvlText w:val="-"/>
      <w:lvlJc w:val="left"/>
      <w:pPr>
        <w:tabs>
          <w:tab w:val="num" w:pos="2880"/>
        </w:tabs>
        <w:ind w:left="2880" w:hanging="360"/>
      </w:pPr>
      <w:rPr>
        <w:rFonts w:ascii="Times New Roman" w:eastAsia="Times New Roman" w:hAnsi="Times New Roman" w:cs="Times New Roman" w:hint="default"/>
      </w:rPr>
    </w:lvl>
    <w:lvl w:ilvl="1" w:tplc="042A0003" w:tentative="1">
      <w:start w:val="1"/>
      <w:numFmt w:val="bullet"/>
      <w:lvlText w:val="o"/>
      <w:lvlJc w:val="left"/>
      <w:pPr>
        <w:tabs>
          <w:tab w:val="num" w:pos="3600"/>
        </w:tabs>
        <w:ind w:left="3600" w:hanging="360"/>
      </w:pPr>
      <w:rPr>
        <w:rFonts w:ascii="Courier New" w:hAnsi="Courier New" w:cs="Courier New" w:hint="default"/>
      </w:rPr>
    </w:lvl>
    <w:lvl w:ilvl="2" w:tplc="042A0005" w:tentative="1">
      <w:start w:val="1"/>
      <w:numFmt w:val="bullet"/>
      <w:lvlText w:val=""/>
      <w:lvlJc w:val="left"/>
      <w:pPr>
        <w:tabs>
          <w:tab w:val="num" w:pos="4320"/>
        </w:tabs>
        <w:ind w:left="4320" w:hanging="360"/>
      </w:pPr>
      <w:rPr>
        <w:rFonts w:ascii="Wingdings" w:hAnsi="Wingdings" w:hint="default"/>
      </w:rPr>
    </w:lvl>
    <w:lvl w:ilvl="3" w:tplc="042A0001" w:tentative="1">
      <w:start w:val="1"/>
      <w:numFmt w:val="bullet"/>
      <w:lvlText w:val=""/>
      <w:lvlJc w:val="left"/>
      <w:pPr>
        <w:tabs>
          <w:tab w:val="num" w:pos="5040"/>
        </w:tabs>
        <w:ind w:left="5040" w:hanging="360"/>
      </w:pPr>
      <w:rPr>
        <w:rFonts w:ascii="Symbol" w:hAnsi="Symbol" w:hint="default"/>
      </w:rPr>
    </w:lvl>
    <w:lvl w:ilvl="4" w:tplc="042A0003" w:tentative="1">
      <w:start w:val="1"/>
      <w:numFmt w:val="bullet"/>
      <w:lvlText w:val="o"/>
      <w:lvlJc w:val="left"/>
      <w:pPr>
        <w:tabs>
          <w:tab w:val="num" w:pos="5760"/>
        </w:tabs>
        <w:ind w:left="5760" w:hanging="360"/>
      </w:pPr>
      <w:rPr>
        <w:rFonts w:ascii="Courier New" w:hAnsi="Courier New" w:cs="Courier New" w:hint="default"/>
      </w:rPr>
    </w:lvl>
    <w:lvl w:ilvl="5" w:tplc="042A0005" w:tentative="1">
      <w:start w:val="1"/>
      <w:numFmt w:val="bullet"/>
      <w:lvlText w:val=""/>
      <w:lvlJc w:val="left"/>
      <w:pPr>
        <w:tabs>
          <w:tab w:val="num" w:pos="6480"/>
        </w:tabs>
        <w:ind w:left="6480" w:hanging="360"/>
      </w:pPr>
      <w:rPr>
        <w:rFonts w:ascii="Wingdings" w:hAnsi="Wingdings" w:hint="default"/>
      </w:rPr>
    </w:lvl>
    <w:lvl w:ilvl="6" w:tplc="042A0001" w:tentative="1">
      <w:start w:val="1"/>
      <w:numFmt w:val="bullet"/>
      <w:lvlText w:val=""/>
      <w:lvlJc w:val="left"/>
      <w:pPr>
        <w:tabs>
          <w:tab w:val="num" w:pos="7200"/>
        </w:tabs>
        <w:ind w:left="7200" w:hanging="360"/>
      </w:pPr>
      <w:rPr>
        <w:rFonts w:ascii="Symbol" w:hAnsi="Symbol" w:hint="default"/>
      </w:rPr>
    </w:lvl>
    <w:lvl w:ilvl="7" w:tplc="042A0003" w:tentative="1">
      <w:start w:val="1"/>
      <w:numFmt w:val="bullet"/>
      <w:lvlText w:val="o"/>
      <w:lvlJc w:val="left"/>
      <w:pPr>
        <w:tabs>
          <w:tab w:val="num" w:pos="7920"/>
        </w:tabs>
        <w:ind w:left="7920" w:hanging="360"/>
      </w:pPr>
      <w:rPr>
        <w:rFonts w:ascii="Courier New" w:hAnsi="Courier New" w:cs="Courier New" w:hint="default"/>
      </w:rPr>
    </w:lvl>
    <w:lvl w:ilvl="8" w:tplc="042A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DEA5EAD"/>
    <w:multiLevelType w:val="multilevel"/>
    <w:tmpl w:val="2C2CE2C6"/>
    <w:styleLink w:val="Style1"/>
    <w:lvl w:ilvl="0">
      <w:start w:val="1"/>
      <w:numFmt w:val="decimal"/>
      <w:lvlText w:val="1.1.%1."/>
      <w:lvlJc w:val="left"/>
      <w:pPr>
        <w:ind w:left="360" w:hanging="360"/>
      </w:pPr>
      <w:rPr>
        <w:rFonts w:ascii="Times New Roman" w:hAnsi="Times New Roman"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7B585C"/>
    <w:multiLevelType w:val="hybridMultilevel"/>
    <w:tmpl w:val="3AC4EB32"/>
    <w:lvl w:ilvl="0" w:tplc="2578E128">
      <w:start w:val="3"/>
      <w:numFmt w:val="bullet"/>
      <w:lvlText w:val="-"/>
      <w:lvlJc w:val="left"/>
      <w:pPr>
        <w:ind w:left="1800" w:hanging="360"/>
      </w:pPr>
      <w:rPr>
        <w:rFonts w:ascii="Times New Roman" w:eastAsia="Calibri" w:hAnsi="Times New Roman" w:cs="Times New Roman" w:hint="default"/>
        <w:i/>
        <w:sz w:val="28"/>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29E60658"/>
    <w:multiLevelType w:val="hybridMultilevel"/>
    <w:tmpl w:val="B33C942C"/>
    <w:lvl w:ilvl="0" w:tplc="8A4027A0">
      <w:start w:val="1"/>
      <w:numFmt w:val="low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9" w15:restartNumberingAfterBreak="0">
    <w:nsid w:val="3F8C1E1C"/>
    <w:multiLevelType w:val="hybridMultilevel"/>
    <w:tmpl w:val="B686C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D35F6"/>
    <w:multiLevelType w:val="hybridMultilevel"/>
    <w:tmpl w:val="DECE1EDA"/>
    <w:lvl w:ilvl="0" w:tplc="0AE8C97E">
      <w:start w:val="3"/>
      <w:numFmt w:val="bullet"/>
      <w:lvlText w:val="-"/>
      <w:lvlJc w:val="left"/>
      <w:pPr>
        <w:ind w:left="6314" w:hanging="360"/>
      </w:pPr>
      <w:rPr>
        <w:rFonts w:ascii="Times New Roman" w:eastAsiaTheme="minorHAnsi" w:hAnsi="Times New Roman" w:cs="Times New Roman" w:hint="default"/>
        <w:color w:val="auto"/>
      </w:rPr>
    </w:lvl>
    <w:lvl w:ilvl="1" w:tplc="04090003" w:tentative="1">
      <w:start w:val="1"/>
      <w:numFmt w:val="bullet"/>
      <w:lvlText w:val="o"/>
      <w:lvlJc w:val="left"/>
      <w:pPr>
        <w:ind w:left="7318" w:hanging="360"/>
      </w:pPr>
      <w:rPr>
        <w:rFonts w:ascii="Courier New" w:hAnsi="Courier New" w:cs="Courier New" w:hint="default"/>
      </w:rPr>
    </w:lvl>
    <w:lvl w:ilvl="2" w:tplc="04090005" w:tentative="1">
      <w:start w:val="1"/>
      <w:numFmt w:val="bullet"/>
      <w:lvlText w:val=""/>
      <w:lvlJc w:val="left"/>
      <w:pPr>
        <w:ind w:left="8038" w:hanging="360"/>
      </w:pPr>
      <w:rPr>
        <w:rFonts w:ascii="Wingdings" w:hAnsi="Wingdings" w:hint="default"/>
      </w:rPr>
    </w:lvl>
    <w:lvl w:ilvl="3" w:tplc="04090001" w:tentative="1">
      <w:start w:val="1"/>
      <w:numFmt w:val="bullet"/>
      <w:lvlText w:val=""/>
      <w:lvlJc w:val="left"/>
      <w:pPr>
        <w:ind w:left="8758" w:hanging="360"/>
      </w:pPr>
      <w:rPr>
        <w:rFonts w:ascii="Symbol" w:hAnsi="Symbol" w:hint="default"/>
      </w:rPr>
    </w:lvl>
    <w:lvl w:ilvl="4" w:tplc="04090003" w:tentative="1">
      <w:start w:val="1"/>
      <w:numFmt w:val="bullet"/>
      <w:lvlText w:val="o"/>
      <w:lvlJc w:val="left"/>
      <w:pPr>
        <w:ind w:left="9478" w:hanging="360"/>
      </w:pPr>
      <w:rPr>
        <w:rFonts w:ascii="Courier New" w:hAnsi="Courier New" w:cs="Courier New" w:hint="default"/>
      </w:rPr>
    </w:lvl>
    <w:lvl w:ilvl="5" w:tplc="04090005" w:tentative="1">
      <w:start w:val="1"/>
      <w:numFmt w:val="bullet"/>
      <w:lvlText w:val=""/>
      <w:lvlJc w:val="left"/>
      <w:pPr>
        <w:ind w:left="10198" w:hanging="360"/>
      </w:pPr>
      <w:rPr>
        <w:rFonts w:ascii="Wingdings" w:hAnsi="Wingdings" w:hint="default"/>
      </w:rPr>
    </w:lvl>
    <w:lvl w:ilvl="6" w:tplc="04090001" w:tentative="1">
      <w:start w:val="1"/>
      <w:numFmt w:val="bullet"/>
      <w:lvlText w:val=""/>
      <w:lvlJc w:val="left"/>
      <w:pPr>
        <w:ind w:left="10918" w:hanging="360"/>
      </w:pPr>
      <w:rPr>
        <w:rFonts w:ascii="Symbol" w:hAnsi="Symbol" w:hint="default"/>
      </w:rPr>
    </w:lvl>
    <w:lvl w:ilvl="7" w:tplc="04090003" w:tentative="1">
      <w:start w:val="1"/>
      <w:numFmt w:val="bullet"/>
      <w:lvlText w:val="o"/>
      <w:lvlJc w:val="left"/>
      <w:pPr>
        <w:ind w:left="11638" w:hanging="360"/>
      </w:pPr>
      <w:rPr>
        <w:rFonts w:ascii="Courier New" w:hAnsi="Courier New" w:cs="Courier New" w:hint="default"/>
      </w:rPr>
    </w:lvl>
    <w:lvl w:ilvl="8" w:tplc="04090005" w:tentative="1">
      <w:start w:val="1"/>
      <w:numFmt w:val="bullet"/>
      <w:lvlText w:val=""/>
      <w:lvlJc w:val="left"/>
      <w:pPr>
        <w:ind w:left="12358" w:hanging="360"/>
      </w:pPr>
      <w:rPr>
        <w:rFonts w:ascii="Wingdings" w:hAnsi="Wingdings" w:hint="default"/>
      </w:rPr>
    </w:lvl>
  </w:abstractNum>
  <w:abstractNum w:abstractNumId="11" w15:restartNumberingAfterBreak="0">
    <w:nsid w:val="541F6967"/>
    <w:multiLevelType w:val="hybridMultilevel"/>
    <w:tmpl w:val="87961E1E"/>
    <w:lvl w:ilvl="0" w:tplc="CE02C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34641C"/>
    <w:multiLevelType w:val="hybridMultilevel"/>
    <w:tmpl w:val="B6242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2064A"/>
    <w:multiLevelType w:val="hybridMultilevel"/>
    <w:tmpl w:val="1B32C9E4"/>
    <w:lvl w:ilvl="0" w:tplc="CC0429E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0677C80"/>
    <w:multiLevelType w:val="hybridMultilevel"/>
    <w:tmpl w:val="05C48AAC"/>
    <w:lvl w:ilvl="0" w:tplc="CB4E2D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2F23"/>
    <w:multiLevelType w:val="multilevel"/>
    <w:tmpl w:val="C324C394"/>
    <w:lvl w:ilvl="0">
      <w:start w:val="1"/>
      <w:numFmt w:val="upperRoman"/>
      <w:lvlText w:val="%1."/>
      <w:lvlJc w:val="left"/>
      <w:pPr>
        <w:ind w:left="1287" w:hanging="72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6" w15:restartNumberingAfterBreak="0">
    <w:nsid w:val="7B122CEB"/>
    <w:multiLevelType w:val="hybridMultilevel"/>
    <w:tmpl w:val="86A25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36135"/>
    <w:multiLevelType w:val="hybridMultilevel"/>
    <w:tmpl w:val="43301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3"/>
  </w:num>
  <w:num w:numId="5">
    <w:abstractNumId w:val="2"/>
  </w:num>
  <w:num w:numId="6">
    <w:abstractNumId w:val="6"/>
  </w:num>
  <w:num w:numId="7">
    <w:abstractNumId w:val="9"/>
  </w:num>
  <w:num w:numId="8">
    <w:abstractNumId w:val="16"/>
  </w:num>
  <w:num w:numId="9">
    <w:abstractNumId w:val="17"/>
  </w:num>
  <w:num w:numId="10">
    <w:abstractNumId w:val="12"/>
  </w:num>
  <w:num w:numId="11">
    <w:abstractNumId w:val="11"/>
  </w:num>
  <w:num w:numId="12">
    <w:abstractNumId w:val="0"/>
  </w:num>
  <w:num w:numId="13">
    <w:abstractNumId w:val="15"/>
  </w:num>
  <w:num w:numId="14">
    <w:abstractNumId w:val="3"/>
  </w:num>
  <w:num w:numId="15">
    <w:abstractNumId w:val="10"/>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D6"/>
    <w:rsid w:val="00001024"/>
    <w:rsid w:val="00002B27"/>
    <w:rsid w:val="000043C9"/>
    <w:rsid w:val="00014A51"/>
    <w:rsid w:val="00014EAB"/>
    <w:rsid w:val="00015662"/>
    <w:rsid w:val="00016C43"/>
    <w:rsid w:val="00016D1A"/>
    <w:rsid w:val="00021F9B"/>
    <w:rsid w:val="00024A34"/>
    <w:rsid w:val="0002532B"/>
    <w:rsid w:val="00027C14"/>
    <w:rsid w:val="000356B2"/>
    <w:rsid w:val="00042082"/>
    <w:rsid w:val="00042DFD"/>
    <w:rsid w:val="00047178"/>
    <w:rsid w:val="00050CA2"/>
    <w:rsid w:val="00050F2E"/>
    <w:rsid w:val="00051A0C"/>
    <w:rsid w:val="000524B6"/>
    <w:rsid w:val="00053F30"/>
    <w:rsid w:val="000549E9"/>
    <w:rsid w:val="000552B9"/>
    <w:rsid w:val="000554AA"/>
    <w:rsid w:val="00055CB3"/>
    <w:rsid w:val="00060CDF"/>
    <w:rsid w:val="00062E06"/>
    <w:rsid w:val="00062FF9"/>
    <w:rsid w:val="000645D1"/>
    <w:rsid w:val="000648D9"/>
    <w:rsid w:val="000669EE"/>
    <w:rsid w:val="00070076"/>
    <w:rsid w:val="000705B9"/>
    <w:rsid w:val="00070F5F"/>
    <w:rsid w:val="00071C6A"/>
    <w:rsid w:val="00072DED"/>
    <w:rsid w:val="00073C73"/>
    <w:rsid w:val="00074CCB"/>
    <w:rsid w:val="0007676C"/>
    <w:rsid w:val="00077031"/>
    <w:rsid w:val="000778B8"/>
    <w:rsid w:val="00081471"/>
    <w:rsid w:val="000836C7"/>
    <w:rsid w:val="000915F2"/>
    <w:rsid w:val="0009171A"/>
    <w:rsid w:val="00092720"/>
    <w:rsid w:val="00092CCA"/>
    <w:rsid w:val="0009365F"/>
    <w:rsid w:val="00095F3F"/>
    <w:rsid w:val="00097990"/>
    <w:rsid w:val="000A17C6"/>
    <w:rsid w:val="000A3271"/>
    <w:rsid w:val="000A51EE"/>
    <w:rsid w:val="000A6B28"/>
    <w:rsid w:val="000A705C"/>
    <w:rsid w:val="000A7373"/>
    <w:rsid w:val="000B1969"/>
    <w:rsid w:val="000B1AD7"/>
    <w:rsid w:val="000B2A3A"/>
    <w:rsid w:val="000B3CFB"/>
    <w:rsid w:val="000B4ABA"/>
    <w:rsid w:val="000B651B"/>
    <w:rsid w:val="000B674E"/>
    <w:rsid w:val="000B68E3"/>
    <w:rsid w:val="000B6BD1"/>
    <w:rsid w:val="000C766D"/>
    <w:rsid w:val="000D3BB0"/>
    <w:rsid w:val="000D6ECD"/>
    <w:rsid w:val="000E0423"/>
    <w:rsid w:val="000E0E7C"/>
    <w:rsid w:val="000E2341"/>
    <w:rsid w:val="000E2D56"/>
    <w:rsid w:val="000F1DD7"/>
    <w:rsid w:val="000F66DB"/>
    <w:rsid w:val="000F7E6E"/>
    <w:rsid w:val="00102B9E"/>
    <w:rsid w:val="00102CCF"/>
    <w:rsid w:val="001041A8"/>
    <w:rsid w:val="0010479D"/>
    <w:rsid w:val="00104930"/>
    <w:rsid w:val="0010538A"/>
    <w:rsid w:val="00107589"/>
    <w:rsid w:val="00113835"/>
    <w:rsid w:val="00117425"/>
    <w:rsid w:val="001176E8"/>
    <w:rsid w:val="001178DC"/>
    <w:rsid w:val="00117A1E"/>
    <w:rsid w:val="0012111B"/>
    <w:rsid w:val="00121437"/>
    <w:rsid w:val="00122903"/>
    <w:rsid w:val="001253E2"/>
    <w:rsid w:val="00125815"/>
    <w:rsid w:val="0012591C"/>
    <w:rsid w:val="001264B3"/>
    <w:rsid w:val="00135FE6"/>
    <w:rsid w:val="001371DD"/>
    <w:rsid w:val="001447BA"/>
    <w:rsid w:val="00150528"/>
    <w:rsid w:val="0015054E"/>
    <w:rsid w:val="00150C63"/>
    <w:rsid w:val="00156881"/>
    <w:rsid w:val="00157A5A"/>
    <w:rsid w:val="00160B83"/>
    <w:rsid w:val="001625F5"/>
    <w:rsid w:val="00162B90"/>
    <w:rsid w:val="00163223"/>
    <w:rsid w:val="00165962"/>
    <w:rsid w:val="0016605F"/>
    <w:rsid w:val="001715E6"/>
    <w:rsid w:val="00174B3F"/>
    <w:rsid w:val="00174E9D"/>
    <w:rsid w:val="00180676"/>
    <w:rsid w:val="00180B78"/>
    <w:rsid w:val="00180E66"/>
    <w:rsid w:val="00183048"/>
    <w:rsid w:val="001831B5"/>
    <w:rsid w:val="00184D2E"/>
    <w:rsid w:val="00185384"/>
    <w:rsid w:val="0018544F"/>
    <w:rsid w:val="00186F0E"/>
    <w:rsid w:val="0018753D"/>
    <w:rsid w:val="0019006A"/>
    <w:rsid w:val="001912AA"/>
    <w:rsid w:val="00194486"/>
    <w:rsid w:val="00195005"/>
    <w:rsid w:val="001A0649"/>
    <w:rsid w:val="001A1896"/>
    <w:rsid w:val="001A2FA3"/>
    <w:rsid w:val="001A4419"/>
    <w:rsid w:val="001A49E3"/>
    <w:rsid w:val="001A5DDF"/>
    <w:rsid w:val="001A5E59"/>
    <w:rsid w:val="001A6858"/>
    <w:rsid w:val="001A73AC"/>
    <w:rsid w:val="001B0D3E"/>
    <w:rsid w:val="001B2A3E"/>
    <w:rsid w:val="001B3CC4"/>
    <w:rsid w:val="001B584A"/>
    <w:rsid w:val="001B5C50"/>
    <w:rsid w:val="001C0033"/>
    <w:rsid w:val="001C1041"/>
    <w:rsid w:val="001C2B61"/>
    <w:rsid w:val="001C55E3"/>
    <w:rsid w:val="001C5A51"/>
    <w:rsid w:val="001D002C"/>
    <w:rsid w:val="001D271C"/>
    <w:rsid w:val="001D4940"/>
    <w:rsid w:val="001D4CE9"/>
    <w:rsid w:val="001D585B"/>
    <w:rsid w:val="001D6402"/>
    <w:rsid w:val="001D6C9E"/>
    <w:rsid w:val="001D747A"/>
    <w:rsid w:val="001D7AB7"/>
    <w:rsid w:val="001E1732"/>
    <w:rsid w:val="001E1BA2"/>
    <w:rsid w:val="001E1E1D"/>
    <w:rsid w:val="001E2970"/>
    <w:rsid w:val="001E2E05"/>
    <w:rsid w:val="001E3A82"/>
    <w:rsid w:val="001E53E7"/>
    <w:rsid w:val="001F113B"/>
    <w:rsid w:val="001F61E5"/>
    <w:rsid w:val="001F7281"/>
    <w:rsid w:val="00201963"/>
    <w:rsid w:val="002041FD"/>
    <w:rsid w:val="002110B6"/>
    <w:rsid w:val="00212673"/>
    <w:rsid w:val="00212F7C"/>
    <w:rsid w:val="00213A48"/>
    <w:rsid w:val="00215CC3"/>
    <w:rsid w:val="00216193"/>
    <w:rsid w:val="00223FDE"/>
    <w:rsid w:val="002266FD"/>
    <w:rsid w:val="00227599"/>
    <w:rsid w:val="0023218D"/>
    <w:rsid w:val="002348D7"/>
    <w:rsid w:val="002429E1"/>
    <w:rsid w:val="00242A18"/>
    <w:rsid w:val="002436C8"/>
    <w:rsid w:val="0024472E"/>
    <w:rsid w:val="00245386"/>
    <w:rsid w:val="00246AC9"/>
    <w:rsid w:val="0024789D"/>
    <w:rsid w:val="00254261"/>
    <w:rsid w:val="00261FA0"/>
    <w:rsid w:val="002668A7"/>
    <w:rsid w:val="00267FED"/>
    <w:rsid w:val="00270329"/>
    <w:rsid w:val="00270CAA"/>
    <w:rsid w:val="0027192D"/>
    <w:rsid w:val="002770F2"/>
    <w:rsid w:val="0028310A"/>
    <w:rsid w:val="00286FFF"/>
    <w:rsid w:val="00295D05"/>
    <w:rsid w:val="00297618"/>
    <w:rsid w:val="00297922"/>
    <w:rsid w:val="00297A9B"/>
    <w:rsid w:val="002A181C"/>
    <w:rsid w:val="002A55A7"/>
    <w:rsid w:val="002A6D64"/>
    <w:rsid w:val="002B35D2"/>
    <w:rsid w:val="002B55FD"/>
    <w:rsid w:val="002C02F0"/>
    <w:rsid w:val="002C387F"/>
    <w:rsid w:val="002C3DE4"/>
    <w:rsid w:val="002C59DD"/>
    <w:rsid w:val="002C72FB"/>
    <w:rsid w:val="002D04C2"/>
    <w:rsid w:val="002D4A95"/>
    <w:rsid w:val="002D5F55"/>
    <w:rsid w:val="002D6D52"/>
    <w:rsid w:val="002D72D9"/>
    <w:rsid w:val="002E0651"/>
    <w:rsid w:val="002E1C41"/>
    <w:rsid w:val="002E2DCD"/>
    <w:rsid w:val="002E530D"/>
    <w:rsid w:val="002E74CD"/>
    <w:rsid w:val="002F04B0"/>
    <w:rsid w:val="002F05E4"/>
    <w:rsid w:val="00300388"/>
    <w:rsid w:val="00300537"/>
    <w:rsid w:val="00301D63"/>
    <w:rsid w:val="00302298"/>
    <w:rsid w:val="00303379"/>
    <w:rsid w:val="00307E69"/>
    <w:rsid w:val="00310A2D"/>
    <w:rsid w:val="0031109B"/>
    <w:rsid w:val="00311CE0"/>
    <w:rsid w:val="003121A2"/>
    <w:rsid w:val="00314059"/>
    <w:rsid w:val="0032300A"/>
    <w:rsid w:val="0032397E"/>
    <w:rsid w:val="00324C89"/>
    <w:rsid w:val="00326359"/>
    <w:rsid w:val="00326E25"/>
    <w:rsid w:val="00330490"/>
    <w:rsid w:val="00332102"/>
    <w:rsid w:val="003323EB"/>
    <w:rsid w:val="00332E35"/>
    <w:rsid w:val="00335BD9"/>
    <w:rsid w:val="00336377"/>
    <w:rsid w:val="003379CE"/>
    <w:rsid w:val="00342B0C"/>
    <w:rsid w:val="003462B1"/>
    <w:rsid w:val="00346A7F"/>
    <w:rsid w:val="0035252B"/>
    <w:rsid w:val="003525C6"/>
    <w:rsid w:val="00352E3E"/>
    <w:rsid w:val="00354984"/>
    <w:rsid w:val="00356F2C"/>
    <w:rsid w:val="00365721"/>
    <w:rsid w:val="00366978"/>
    <w:rsid w:val="00370C1D"/>
    <w:rsid w:val="00371D64"/>
    <w:rsid w:val="00374EEE"/>
    <w:rsid w:val="00376401"/>
    <w:rsid w:val="00376BB9"/>
    <w:rsid w:val="00381CEE"/>
    <w:rsid w:val="00383C63"/>
    <w:rsid w:val="00384A79"/>
    <w:rsid w:val="0038560E"/>
    <w:rsid w:val="00391365"/>
    <w:rsid w:val="00394C4B"/>
    <w:rsid w:val="003A05F3"/>
    <w:rsid w:val="003A08ED"/>
    <w:rsid w:val="003A17C6"/>
    <w:rsid w:val="003A519A"/>
    <w:rsid w:val="003A54FD"/>
    <w:rsid w:val="003A5BB0"/>
    <w:rsid w:val="003B4952"/>
    <w:rsid w:val="003B6EF3"/>
    <w:rsid w:val="003C0067"/>
    <w:rsid w:val="003C29E4"/>
    <w:rsid w:val="003C2B2A"/>
    <w:rsid w:val="003C3857"/>
    <w:rsid w:val="003D1136"/>
    <w:rsid w:val="003D2C68"/>
    <w:rsid w:val="003E375B"/>
    <w:rsid w:val="003E4414"/>
    <w:rsid w:val="003E7396"/>
    <w:rsid w:val="003F08D8"/>
    <w:rsid w:val="003F13A5"/>
    <w:rsid w:val="003F20D6"/>
    <w:rsid w:val="003F2BAF"/>
    <w:rsid w:val="003F446A"/>
    <w:rsid w:val="003F4905"/>
    <w:rsid w:val="003F52DB"/>
    <w:rsid w:val="003F7BFE"/>
    <w:rsid w:val="0040183E"/>
    <w:rsid w:val="00402188"/>
    <w:rsid w:val="0040586A"/>
    <w:rsid w:val="00405C15"/>
    <w:rsid w:val="00413310"/>
    <w:rsid w:val="004133F9"/>
    <w:rsid w:val="00414A96"/>
    <w:rsid w:val="00420871"/>
    <w:rsid w:val="00422164"/>
    <w:rsid w:val="00425CA5"/>
    <w:rsid w:val="00426CCD"/>
    <w:rsid w:val="00427A00"/>
    <w:rsid w:val="0043028B"/>
    <w:rsid w:val="00431F21"/>
    <w:rsid w:val="004325E8"/>
    <w:rsid w:val="00436CC6"/>
    <w:rsid w:val="00443B51"/>
    <w:rsid w:val="00443E4E"/>
    <w:rsid w:val="00444C4A"/>
    <w:rsid w:val="004458F5"/>
    <w:rsid w:val="00446B15"/>
    <w:rsid w:val="00450589"/>
    <w:rsid w:val="004517D4"/>
    <w:rsid w:val="00452F1C"/>
    <w:rsid w:val="00453839"/>
    <w:rsid w:val="004543C3"/>
    <w:rsid w:val="00454FFD"/>
    <w:rsid w:val="00455A59"/>
    <w:rsid w:val="00465A31"/>
    <w:rsid w:val="00466469"/>
    <w:rsid w:val="00470313"/>
    <w:rsid w:val="00471057"/>
    <w:rsid w:val="0047131E"/>
    <w:rsid w:val="0047148F"/>
    <w:rsid w:val="0047318D"/>
    <w:rsid w:val="0047641E"/>
    <w:rsid w:val="0047728A"/>
    <w:rsid w:val="00481A90"/>
    <w:rsid w:val="0048360D"/>
    <w:rsid w:val="00492FAC"/>
    <w:rsid w:val="00493812"/>
    <w:rsid w:val="00493E9A"/>
    <w:rsid w:val="00495705"/>
    <w:rsid w:val="00497677"/>
    <w:rsid w:val="004A06D7"/>
    <w:rsid w:val="004A1D3A"/>
    <w:rsid w:val="004A3212"/>
    <w:rsid w:val="004A45E2"/>
    <w:rsid w:val="004A5B56"/>
    <w:rsid w:val="004A69E3"/>
    <w:rsid w:val="004A6F2D"/>
    <w:rsid w:val="004A77CD"/>
    <w:rsid w:val="004A7F56"/>
    <w:rsid w:val="004B6498"/>
    <w:rsid w:val="004C0D41"/>
    <w:rsid w:val="004C2A39"/>
    <w:rsid w:val="004C4A7F"/>
    <w:rsid w:val="004C611E"/>
    <w:rsid w:val="004D0B87"/>
    <w:rsid w:val="004D1A59"/>
    <w:rsid w:val="004D24E5"/>
    <w:rsid w:val="004D4597"/>
    <w:rsid w:val="004D4F2F"/>
    <w:rsid w:val="004D5664"/>
    <w:rsid w:val="004D6129"/>
    <w:rsid w:val="004D73BE"/>
    <w:rsid w:val="004E321D"/>
    <w:rsid w:val="004E4A6B"/>
    <w:rsid w:val="004E5633"/>
    <w:rsid w:val="004E6126"/>
    <w:rsid w:val="004E64A8"/>
    <w:rsid w:val="004F07A9"/>
    <w:rsid w:val="004F0E68"/>
    <w:rsid w:val="004F334D"/>
    <w:rsid w:val="004F3543"/>
    <w:rsid w:val="004F3B1F"/>
    <w:rsid w:val="004F5B12"/>
    <w:rsid w:val="004F67D4"/>
    <w:rsid w:val="004F6F18"/>
    <w:rsid w:val="004F79D5"/>
    <w:rsid w:val="00500399"/>
    <w:rsid w:val="00502583"/>
    <w:rsid w:val="005029FC"/>
    <w:rsid w:val="005037AD"/>
    <w:rsid w:val="00504AF0"/>
    <w:rsid w:val="0050546A"/>
    <w:rsid w:val="00506AAB"/>
    <w:rsid w:val="00517490"/>
    <w:rsid w:val="00520497"/>
    <w:rsid w:val="00521395"/>
    <w:rsid w:val="00522A23"/>
    <w:rsid w:val="005265FD"/>
    <w:rsid w:val="00527AA5"/>
    <w:rsid w:val="00530811"/>
    <w:rsid w:val="005329CE"/>
    <w:rsid w:val="00532BAC"/>
    <w:rsid w:val="00533A50"/>
    <w:rsid w:val="00540FF8"/>
    <w:rsid w:val="005410C0"/>
    <w:rsid w:val="00541D25"/>
    <w:rsid w:val="0054212B"/>
    <w:rsid w:val="005426C2"/>
    <w:rsid w:val="00544A2D"/>
    <w:rsid w:val="0054535A"/>
    <w:rsid w:val="0054558A"/>
    <w:rsid w:val="00545C51"/>
    <w:rsid w:val="00546F81"/>
    <w:rsid w:val="0055035E"/>
    <w:rsid w:val="005503D5"/>
    <w:rsid w:val="005515E4"/>
    <w:rsid w:val="00551834"/>
    <w:rsid w:val="0055362A"/>
    <w:rsid w:val="00554ED2"/>
    <w:rsid w:val="00555B99"/>
    <w:rsid w:val="00557DF7"/>
    <w:rsid w:val="0056133D"/>
    <w:rsid w:val="00565B02"/>
    <w:rsid w:val="00566DCC"/>
    <w:rsid w:val="00566E07"/>
    <w:rsid w:val="005670D3"/>
    <w:rsid w:val="00567E43"/>
    <w:rsid w:val="00571246"/>
    <w:rsid w:val="00574BCF"/>
    <w:rsid w:val="005755A3"/>
    <w:rsid w:val="0057624F"/>
    <w:rsid w:val="00576F4B"/>
    <w:rsid w:val="005774FA"/>
    <w:rsid w:val="0058098E"/>
    <w:rsid w:val="00584FE8"/>
    <w:rsid w:val="00585774"/>
    <w:rsid w:val="0058590A"/>
    <w:rsid w:val="0058590E"/>
    <w:rsid w:val="005866DC"/>
    <w:rsid w:val="00591ACD"/>
    <w:rsid w:val="0059419D"/>
    <w:rsid w:val="00595117"/>
    <w:rsid w:val="00595C20"/>
    <w:rsid w:val="00595D97"/>
    <w:rsid w:val="00596A17"/>
    <w:rsid w:val="005A09E1"/>
    <w:rsid w:val="005A103E"/>
    <w:rsid w:val="005A12BC"/>
    <w:rsid w:val="005A22F6"/>
    <w:rsid w:val="005A2D85"/>
    <w:rsid w:val="005A4017"/>
    <w:rsid w:val="005B07EA"/>
    <w:rsid w:val="005B0B62"/>
    <w:rsid w:val="005B14A7"/>
    <w:rsid w:val="005B2B36"/>
    <w:rsid w:val="005B6C8B"/>
    <w:rsid w:val="005C10C2"/>
    <w:rsid w:val="005C1E5D"/>
    <w:rsid w:val="005C36FD"/>
    <w:rsid w:val="005C3E79"/>
    <w:rsid w:val="005C6D6D"/>
    <w:rsid w:val="005C751F"/>
    <w:rsid w:val="005C7DD8"/>
    <w:rsid w:val="005D1B01"/>
    <w:rsid w:val="005D4505"/>
    <w:rsid w:val="005D4574"/>
    <w:rsid w:val="005D4D42"/>
    <w:rsid w:val="005E009D"/>
    <w:rsid w:val="005E22DF"/>
    <w:rsid w:val="005E463C"/>
    <w:rsid w:val="005E6438"/>
    <w:rsid w:val="005E6878"/>
    <w:rsid w:val="005E7ABB"/>
    <w:rsid w:val="005F44F9"/>
    <w:rsid w:val="005F5AEE"/>
    <w:rsid w:val="005F5FFF"/>
    <w:rsid w:val="005F74D5"/>
    <w:rsid w:val="006001EA"/>
    <w:rsid w:val="006015B7"/>
    <w:rsid w:val="00603CDF"/>
    <w:rsid w:val="00605442"/>
    <w:rsid w:val="006101B7"/>
    <w:rsid w:val="00611742"/>
    <w:rsid w:val="00611C9C"/>
    <w:rsid w:val="006126C7"/>
    <w:rsid w:val="00612E72"/>
    <w:rsid w:val="00614A2D"/>
    <w:rsid w:val="006152A0"/>
    <w:rsid w:val="00624EB0"/>
    <w:rsid w:val="00624F8A"/>
    <w:rsid w:val="00626DE2"/>
    <w:rsid w:val="00630205"/>
    <w:rsid w:val="00630B15"/>
    <w:rsid w:val="006315D9"/>
    <w:rsid w:val="0063248D"/>
    <w:rsid w:val="006331F6"/>
    <w:rsid w:val="00634B6E"/>
    <w:rsid w:val="00640A0F"/>
    <w:rsid w:val="00641B15"/>
    <w:rsid w:val="00644E24"/>
    <w:rsid w:val="00647AEF"/>
    <w:rsid w:val="00650339"/>
    <w:rsid w:val="00654E50"/>
    <w:rsid w:val="00656BC2"/>
    <w:rsid w:val="0065767C"/>
    <w:rsid w:val="0066282B"/>
    <w:rsid w:val="0066346A"/>
    <w:rsid w:val="00663479"/>
    <w:rsid w:val="00664083"/>
    <w:rsid w:val="006645DA"/>
    <w:rsid w:val="00665A6D"/>
    <w:rsid w:val="00670540"/>
    <w:rsid w:val="006747E5"/>
    <w:rsid w:val="00677CF7"/>
    <w:rsid w:val="00680CDD"/>
    <w:rsid w:val="00685EE1"/>
    <w:rsid w:val="00687164"/>
    <w:rsid w:val="00690750"/>
    <w:rsid w:val="00694784"/>
    <w:rsid w:val="00695153"/>
    <w:rsid w:val="00695F85"/>
    <w:rsid w:val="00697A09"/>
    <w:rsid w:val="006A5B96"/>
    <w:rsid w:val="006B0473"/>
    <w:rsid w:val="006B0DA6"/>
    <w:rsid w:val="006B1B88"/>
    <w:rsid w:val="006B36D3"/>
    <w:rsid w:val="006B5880"/>
    <w:rsid w:val="006B64E3"/>
    <w:rsid w:val="006B751A"/>
    <w:rsid w:val="006C1465"/>
    <w:rsid w:val="006C2CA8"/>
    <w:rsid w:val="006C37BF"/>
    <w:rsid w:val="006C61DC"/>
    <w:rsid w:val="006C6AB8"/>
    <w:rsid w:val="006D10AC"/>
    <w:rsid w:val="006D14A8"/>
    <w:rsid w:val="006D1EEF"/>
    <w:rsid w:val="006D355C"/>
    <w:rsid w:val="006D60F0"/>
    <w:rsid w:val="006E00FD"/>
    <w:rsid w:val="006E0753"/>
    <w:rsid w:val="006E2A04"/>
    <w:rsid w:val="006E5D91"/>
    <w:rsid w:val="006E6EFA"/>
    <w:rsid w:val="006F100E"/>
    <w:rsid w:val="006F23A2"/>
    <w:rsid w:val="006F2756"/>
    <w:rsid w:val="006F30EE"/>
    <w:rsid w:val="006F34DD"/>
    <w:rsid w:val="006F5875"/>
    <w:rsid w:val="006F7B7A"/>
    <w:rsid w:val="006F7C60"/>
    <w:rsid w:val="00701970"/>
    <w:rsid w:val="00702487"/>
    <w:rsid w:val="00707F83"/>
    <w:rsid w:val="007121D9"/>
    <w:rsid w:val="00712481"/>
    <w:rsid w:val="007127D0"/>
    <w:rsid w:val="00713B37"/>
    <w:rsid w:val="007179D1"/>
    <w:rsid w:val="00717A46"/>
    <w:rsid w:val="007221C1"/>
    <w:rsid w:val="00723BCE"/>
    <w:rsid w:val="00725ED7"/>
    <w:rsid w:val="007271BD"/>
    <w:rsid w:val="0073045C"/>
    <w:rsid w:val="0073158C"/>
    <w:rsid w:val="00732A5C"/>
    <w:rsid w:val="00733161"/>
    <w:rsid w:val="007340AE"/>
    <w:rsid w:val="007342E6"/>
    <w:rsid w:val="0074327E"/>
    <w:rsid w:val="00743343"/>
    <w:rsid w:val="00744CF7"/>
    <w:rsid w:val="00745C3F"/>
    <w:rsid w:val="00747D78"/>
    <w:rsid w:val="0075261B"/>
    <w:rsid w:val="0075270D"/>
    <w:rsid w:val="00756AEC"/>
    <w:rsid w:val="0076129C"/>
    <w:rsid w:val="00765070"/>
    <w:rsid w:val="0076570A"/>
    <w:rsid w:val="00770148"/>
    <w:rsid w:val="00772DC3"/>
    <w:rsid w:val="007734EF"/>
    <w:rsid w:val="007757AB"/>
    <w:rsid w:val="00777A9E"/>
    <w:rsid w:val="007814BB"/>
    <w:rsid w:val="00781A3A"/>
    <w:rsid w:val="00782971"/>
    <w:rsid w:val="00785554"/>
    <w:rsid w:val="00785647"/>
    <w:rsid w:val="007925CB"/>
    <w:rsid w:val="00792DEA"/>
    <w:rsid w:val="00796F29"/>
    <w:rsid w:val="007A1F40"/>
    <w:rsid w:val="007A201F"/>
    <w:rsid w:val="007A7E8D"/>
    <w:rsid w:val="007B03FC"/>
    <w:rsid w:val="007B096E"/>
    <w:rsid w:val="007B178C"/>
    <w:rsid w:val="007B2F5C"/>
    <w:rsid w:val="007B36E4"/>
    <w:rsid w:val="007B3E72"/>
    <w:rsid w:val="007B6BED"/>
    <w:rsid w:val="007C15FD"/>
    <w:rsid w:val="007C2E7F"/>
    <w:rsid w:val="007C462B"/>
    <w:rsid w:val="007D14EA"/>
    <w:rsid w:val="007D2542"/>
    <w:rsid w:val="007D4280"/>
    <w:rsid w:val="007D43CC"/>
    <w:rsid w:val="007D45F5"/>
    <w:rsid w:val="007D637B"/>
    <w:rsid w:val="007D7C58"/>
    <w:rsid w:val="007E0B1A"/>
    <w:rsid w:val="007E422F"/>
    <w:rsid w:val="007E56F3"/>
    <w:rsid w:val="007F05D2"/>
    <w:rsid w:val="007F3601"/>
    <w:rsid w:val="007F376D"/>
    <w:rsid w:val="007F6B49"/>
    <w:rsid w:val="007F7EE6"/>
    <w:rsid w:val="00802370"/>
    <w:rsid w:val="0080445C"/>
    <w:rsid w:val="00804997"/>
    <w:rsid w:val="00812380"/>
    <w:rsid w:val="008140CF"/>
    <w:rsid w:val="00817989"/>
    <w:rsid w:val="008252B9"/>
    <w:rsid w:val="00826D05"/>
    <w:rsid w:val="00826F58"/>
    <w:rsid w:val="00830269"/>
    <w:rsid w:val="008307CC"/>
    <w:rsid w:val="00831901"/>
    <w:rsid w:val="00832E6F"/>
    <w:rsid w:val="00833320"/>
    <w:rsid w:val="008335C9"/>
    <w:rsid w:val="00834B28"/>
    <w:rsid w:val="00835A45"/>
    <w:rsid w:val="00836203"/>
    <w:rsid w:val="00845357"/>
    <w:rsid w:val="008517AE"/>
    <w:rsid w:val="00853ED2"/>
    <w:rsid w:val="0086023D"/>
    <w:rsid w:val="00860F45"/>
    <w:rsid w:val="00862A68"/>
    <w:rsid w:val="00863BE0"/>
    <w:rsid w:val="00867732"/>
    <w:rsid w:val="00867980"/>
    <w:rsid w:val="008703F6"/>
    <w:rsid w:val="0087143D"/>
    <w:rsid w:val="00871C97"/>
    <w:rsid w:val="00872A3B"/>
    <w:rsid w:val="008756D2"/>
    <w:rsid w:val="008808F0"/>
    <w:rsid w:val="00881A70"/>
    <w:rsid w:val="00884121"/>
    <w:rsid w:val="008841FB"/>
    <w:rsid w:val="0088733D"/>
    <w:rsid w:val="0088774E"/>
    <w:rsid w:val="008915A5"/>
    <w:rsid w:val="00891D30"/>
    <w:rsid w:val="00893143"/>
    <w:rsid w:val="00896124"/>
    <w:rsid w:val="00896990"/>
    <w:rsid w:val="008A26C5"/>
    <w:rsid w:val="008A3ADD"/>
    <w:rsid w:val="008A4E7C"/>
    <w:rsid w:val="008B0A2A"/>
    <w:rsid w:val="008B27ED"/>
    <w:rsid w:val="008B515A"/>
    <w:rsid w:val="008B5B52"/>
    <w:rsid w:val="008B6539"/>
    <w:rsid w:val="008B6911"/>
    <w:rsid w:val="008B7B21"/>
    <w:rsid w:val="008C643A"/>
    <w:rsid w:val="008C7417"/>
    <w:rsid w:val="008C7CA0"/>
    <w:rsid w:val="008D105C"/>
    <w:rsid w:val="008D5B68"/>
    <w:rsid w:val="008D5E72"/>
    <w:rsid w:val="008D7E9A"/>
    <w:rsid w:val="008E118A"/>
    <w:rsid w:val="008E1562"/>
    <w:rsid w:val="008E1D75"/>
    <w:rsid w:val="008E416E"/>
    <w:rsid w:val="008E48BC"/>
    <w:rsid w:val="008F122E"/>
    <w:rsid w:val="008F6B23"/>
    <w:rsid w:val="009003FE"/>
    <w:rsid w:val="0090401A"/>
    <w:rsid w:val="009113E0"/>
    <w:rsid w:val="009221DF"/>
    <w:rsid w:val="009237C2"/>
    <w:rsid w:val="00924282"/>
    <w:rsid w:val="009242EC"/>
    <w:rsid w:val="00931667"/>
    <w:rsid w:val="009337E1"/>
    <w:rsid w:val="009346D2"/>
    <w:rsid w:val="00934BD3"/>
    <w:rsid w:val="00937BDB"/>
    <w:rsid w:val="00940AEA"/>
    <w:rsid w:val="0094661F"/>
    <w:rsid w:val="009471B9"/>
    <w:rsid w:val="00947A06"/>
    <w:rsid w:val="00950C32"/>
    <w:rsid w:val="00950D0D"/>
    <w:rsid w:val="00951623"/>
    <w:rsid w:val="00956167"/>
    <w:rsid w:val="00956518"/>
    <w:rsid w:val="0095714B"/>
    <w:rsid w:val="009626DA"/>
    <w:rsid w:val="00963A19"/>
    <w:rsid w:val="00964CAF"/>
    <w:rsid w:val="0096648E"/>
    <w:rsid w:val="009672D2"/>
    <w:rsid w:val="00970A3B"/>
    <w:rsid w:val="009718A9"/>
    <w:rsid w:val="00971F50"/>
    <w:rsid w:val="0097209A"/>
    <w:rsid w:val="009727B5"/>
    <w:rsid w:val="00973F99"/>
    <w:rsid w:val="00981612"/>
    <w:rsid w:val="00992F4C"/>
    <w:rsid w:val="009974E5"/>
    <w:rsid w:val="009A0805"/>
    <w:rsid w:val="009A13F6"/>
    <w:rsid w:val="009A30A0"/>
    <w:rsid w:val="009A38BA"/>
    <w:rsid w:val="009A38F0"/>
    <w:rsid w:val="009A3941"/>
    <w:rsid w:val="009A4159"/>
    <w:rsid w:val="009A6452"/>
    <w:rsid w:val="009B1D56"/>
    <w:rsid w:val="009B6294"/>
    <w:rsid w:val="009B6D28"/>
    <w:rsid w:val="009B7A8B"/>
    <w:rsid w:val="009C2DAB"/>
    <w:rsid w:val="009C6382"/>
    <w:rsid w:val="009C7468"/>
    <w:rsid w:val="009C7900"/>
    <w:rsid w:val="009D1078"/>
    <w:rsid w:val="009D28FE"/>
    <w:rsid w:val="009D3A35"/>
    <w:rsid w:val="009D6A69"/>
    <w:rsid w:val="009E2949"/>
    <w:rsid w:val="009F04BE"/>
    <w:rsid w:val="009F1793"/>
    <w:rsid w:val="009F188F"/>
    <w:rsid w:val="009F2DC8"/>
    <w:rsid w:val="009F3070"/>
    <w:rsid w:val="009F57EF"/>
    <w:rsid w:val="00A0068B"/>
    <w:rsid w:val="00A06C98"/>
    <w:rsid w:val="00A102F7"/>
    <w:rsid w:val="00A11631"/>
    <w:rsid w:val="00A14327"/>
    <w:rsid w:val="00A151EB"/>
    <w:rsid w:val="00A16683"/>
    <w:rsid w:val="00A21A47"/>
    <w:rsid w:val="00A226D9"/>
    <w:rsid w:val="00A22F07"/>
    <w:rsid w:val="00A23B2D"/>
    <w:rsid w:val="00A24B36"/>
    <w:rsid w:val="00A31973"/>
    <w:rsid w:val="00A32C02"/>
    <w:rsid w:val="00A332D9"/>
    <w:rsid w:val="00A36A6F"/>
    <w:rsid w:val="00A43D11"/>
    <w:rsid w:val="00A466ED"/>
    <w:rsid w:val="00A6070F"/>
    <w:rsid w:val="00A60CA0"/>
    <w:rsid w:val="00A60F67"/>
    <w:rsid w:val="00A60FC0"/>
    <w:rsid w:val="00A6406D"/>
    <w:rsid w:val="00A653AA"/>
    <w:rsid w:val="00A70A0D"/>
    <w:rsid w:val="00A723D9"/>
    <w:rsid w:val="00A7336F"/>
    <w:rsid w:val="00A74AC0"/>
    <w:rsid w:val="00A8094F"/>
    <w:rsid w:val="00A8180D"/>
    <w:rsid w:val="00A8222A"/>
    <w:rsid w:val="00A844F2"/>
    <w:rsid w:val="00A862C9"/>
    <w:rsid w:val="00A90F23"/>
    <w:rsid w:val="00A9254F"/>
    <w:rsid w:val="00A950E2"/>
    <w:rsid w:val="00A95DA9"/>
    <w:rsid w:val="00A966BC"/>
    <w:rsid w:val="00A97B12"/>
    <w:rsid w:val="00AA0414"/>
    <w:rsid w:val="00AA368B"/>
    <w:rsid w:val="00AA45B8"/>
    <w:rsid w:val="00AA6AE3"/>
    <w:rsid w:val="00AA7DF5"/>
    <w:rsid w:val="00AB2A51"/>
    <w:rsid w:val="00AB4772"/>
    <w:rsid w:val="00AB6AFA"/>
    <w:rsid w:val="00AB6D6B"/>
    <w:rsid w:val="00AC4C95"/>
    <w:rsid w:val="00AC562D"/>
    <w:rsid w:val="00AC6244"/>
    <w:rsid w:val="00AD0176"/>
    <w:rsid w:val="00AD0666"/>
    <w:rsid w:val="00AD08D7"/>
    <w:rsid w:val="00AD1DAE"/>
    <w:rsid w:val="00AD2094"/>
    <w:rsid w:val="00AD20EF"/>
    <w:rsid w:val="00AD2B6B"/>
    <w:rsid w:val="00AE07B8"/>
    <w:rsid w:val="00AE0CF9"/>
    <w:rsid w:val="00AE1660"/>
    <w:rsid w:val="00AE2AA7"/>
    <w:rsid w:val="00AE4230"/>
    <w:rsid w:val="00AF1FBC"/>
    <w:rsid w:val="00AF55DC"/>
    <w:rsid w:val="00AF60F7"/>
    <w:rsid w:val="00AF68BF"/>
    <w:rsid w:val="00AF6C0E"/>
    <w:rsid w:val="00AF7058"/>
    <w:rsid w:val="00B0033C"/>
    <w:rsid w:val="00B0561E"/>
    <w:rsid w:val="00B06099"/>
    <w:rsid w:val="00B10C93"/>
    <w:rsid w:val="00B11551"/>
    <w:rsid w:val="00B13D19"/>
    <w:rsid w:val="00B145BD"/>
    <w:rsid w:val="00B159D4"/>
    <w:rsid w:val="00B22D80"/>
    <w:rsid w:val="00B22E05"/>
    <w:rsid w:val="00B23229"/>
    <w:rsid w:val="00B24A55"/>
    <w:rsid w:val="00B25C22"/>
    <w:rsid w:val="00B25CE1"/>
    <w:rsid w:val="00B274E9"/>
    <w:rsid w:val="00B3145B"/>
    <w:rsid w:val="00B353A8"/>
    <w:rsid w:val="00B36012"/>
    <w:rsid w:val="00B4052D"/>
    <w:rsid w:val="00B40AE9"/>
    <w:rsid w:val="00B415B7"/>
    <w:rsid w:val="00B42140"/>
    <w:rsid w:val="00B42EDC"/>
    <w:rsid w:val="00B42EF2"/>
    <w:rsid w:val="00B42FC0"/>
    <w:rsid w:val="00B45042"/>
    <w:rsid w:val="00B4512A"/>
    <w:rsid w:val="00B511A6"/>
    <w:rsid w:val="00B51A85"/>
    <w:rsid w:val="00B51AA7"/>
    <w:rsid w:val="00B52003"/>
    <w:rsid w:val="00B54579"/>
    <w:rsid w:val="00B5471E"/>
    <w:rsid w:val="00B549BC"/>
    <w:rsid w:val="00B5514A"/>
    <w:rsid w:val="00B55985"/>
    <w:rsid w:val="00B57090"/>
    <w:rsid w:val="00B57898"/>
    <w:rsid w:val="00B57A2A"/>
    <w:rsid w:val="00B57C73"/>
    <w:rsid w:val="00B57F02"/>
    <w:rsid w:val="00B61799"/>
    <w:rsid w:val="00B63B62"/>
    <w:rsid w:val="00B657AD"/>
    <w:rsid w:val="00B66B86"/>
    <w:rsid w:val="00B66E8C"/>
    <w:rsid w:val="00B670CF"/>
    <w:rsid w:val="00B70E68"/>
    <w:rsid w:val="00B72CE2"/>
    <w:rsid w:val="00B73A55"/>
    <w:rsid w:val="00B75153"/>
    <w:rsid w:val="00B75FE6"/>
    <w:rsid w:val="00B806AC"/>
    <w:rsid w:val="00B80F1D"/>
    <w:rsid w:val="00B83C86"/>
    <w:rsid w:val="00B84254"/>
    <w:rsid w:val="00B8439B"/>
    <w:rsid w:val="00B870D0"/>
    <w:rsid w:val="00B93203"/>
    <w:rsid w:val="00B93B17"/>
    <w:rsid w:val="00B957AA"/>
    <w:rsid w:val="00B96194"/>
    <w:rsid w:val="00BA0ADF"/>
    <w:rsid w:val="00BA383C"/>
    <w:rsid w:val="00BA69B4"/>
    <w:rsid w:val="00BA77D8"/>
    <w:rsid w:val="00BB35C0"/>
    <w:rsid w:val="00BB3A8B"/>
    <w:rsid w:val="00BB628D"/>
    <w:rsid w:val="00BC0E54"/>
    <w:rsid w:val="00BC2682"/>
    <w:rsid w:val="00BC5657"/>
    <w:rsid w:val="00BC5F0D"/>
    <w:rsid w:val="00BD11B9"/>
    <w:rsid w:val="00BD6E17"/>
    <w:rsid w:val="00BD7748"/>
    <w:rsid w:val="00BE1D86"/>
    <w:rsid w:val="00BE3D47"/>
    <w:rsid w:val="00BE4AA1"/>
    <w:rsid w:val="00BE5D62"/>
    <w:rsid w:val="00BE7982"/>
    <w:rsid w:val="00BE79DF"/>
    <w:rsid w:val="00BF058D"/>
    <w:rsid w:val="00BF14A9"/>
    <w:rsid w:val="00BF14FD"/>
    <w:rsid w:val="00BF3DD6"/>
    <w:rsid w:val="00BF531E"/>
    <w:rsid w:val="00BF5B84"/>
    <w:rsid w:val="00C03E1D"/>
    <w:rsid w:val="00C0484D"/>
    <w:rsid w:val="00C04C71"/>
    <w:rsid w:val="00C11508"/>
    <w:rsid w:val="00C13D2B"/>
    <w:rsid w:val="00C22F5F"/>
    <w:rsid w:val="00C24C3C"/>
    <w:rsid w:val="00C256C5"/>
    <w:rsid w:val="00C2640E"/>
    <w:rsid w:val="00C268AB"/>
    <w:rsid w:val="00C27729"/>
    <w:rsid w:val="00C311A1"/>
    <w:rsid w:val="00C322AF"/>
    <w:rsid w:val="00C332CC"/>
    <w:rsid w:val="00C335A6"/>
    <w:rsid w:val="00C3373F"/>
    <w:rsid w:val="00C33D38"/>
    <w:rsid w:val="00C340E8"/>
    <w:rsid w:val="00C344A2"/>
    <w:rsid w:val="00C366C9"/>
    <w:rsid w:val="00C36D1D"/>
    <w:rsid w:val="00C36FB1"/>
    <w:rsid w:val="00C40414"/>
    <w:rsid w:val="00C4169C"/>
    <w:rsid w:val="00C41B25"/>
    <w:rsid w:val="00C41FDE"/>
    <w:rsid w:val="00C42617"/>
    <w:rsid w:val="00C4429C"/>
    <w:rsid w:val="00C44F09"/>
    <w:rsid w:val="00C500E8"/>
    <w:rsid w:val="00C50C7E"/>
    <w:rsid w:val="00C510B4"/>
    <w:rsid w:val="00C54055"/>
    <w:rsid w:val="00C55BB8"/>
    <w:rsid w:val="00C566A1"/>
    <w:rsid w:val="00C608C3"/>
    <w:rsid w:val="00C61221"/>
    <w:rsid w:val="00C629ED"/>
    <w:rsid w:val="00C635E5"/>
    <w:rsid w:val="00C64300"/>
    <w:rsid w:val="00C65FBE"/>
    <w:rsid w:val="00C663D6"/>
    <w:rsid w:val="00C701E9"/>
    <w:rsid w:val="00C70A68"/>
    <w:rsid w:val="00C716A7"/>
    <w:rsid w:val="00C71703"/>
    <w:rsid w:val="00C71C72"/>
    <w:rsid w:val="00C740A6"/>
    <w:rsid w:val="00C75922"/>
    <w:rsid w:val="00C75AC9"/>
    <w:rsid w:val="00C75BE0"/>
    <w:rsid w:val="00C80E73"/>
    <w:rsid w:val="00C82276"/>
    <w:rsid w:val="00C83328"/>
    <w:rsid w:val="00C83BE1"/>
    <w:rsid w:val="00C83CA7"/>
    <w:rsid w:val="00C911E1"/>
    <w:rsid w:val="00C92345"/>
    <w:rsid w:val="00C94E48"/>
    <w:rsid w:val="00C96C94"/>
    <w:rsid w:val="00CA1396"/>
    <w:rsid w:val="00CA2D3D"/>
    <w:rsid w:val="00CA6308"/>
    <w:rsid w:val="00CA774B"/>
    <w:rsid w:val="00CA7CC0"/>
    <w:rsid w:val="00CA7EF7"/>
    <w:rsid w:val="00CB175D"/>
    <w:rsid w:val="00CB1B44"/>
    <w:rsid w:val="00CB3EE6"/>
    <w:rsid w:val="00CB438B"/>
    <w:rsid w:val="00CB76A1"/>
    <w:rsid w:val="00CC2C89"/>
    <w:rsid w:val="00CC5C36"/>
    <w:rsid w:val="00CC7BD3"/>
    <w:rsid w:val="00CD11B6"/>
    <w:rsid w:val="00CD23E6"/>
    <w:rsid w:val="00CD5913"/>
    <w:rsid w:val="00CD7476"/>
    <w:rsid w:val="00CE0385"/>
    <w:rsid w:val="00CF0D57"/>
    <w:rsid w:val="00CF3974"/>
    <w:rsid w:val="00CF3D52"/>
    <w:rsid w:val="00CF5319"/>
    <w:rsid w:val="00CF57A1"/>
    <w:rsid w:val="00D00138"/>
    <w:rsid w:val="00D006CB"/>
    <w:rsid w:val="00D009CD"/>
    <w:rsid w:val="00D009E6"/>
    <w:rsid w:val="00D02743"/>
    <w:rsid w:val="00D07BF3"/>
    <w:rsid w:val="00D10790"/>
    <w:rsid w:val="00D117C8"/>
    <w:rsid w:val="00D14391"/>
    <w:rsid w:val="00D212AE"/>
    <w:rsid w:val="00D22915"/>
    <w:rsid w:val="00D23A29"/>
    <w:rsid w:val="00D2412C"/>
    <w:rsid w:val="00D309FC"/>
    <w:rsid w:val="00D30D80"/>
    <w:rsid w:val="00D32DA9"/>
    <w:rsid w:val="00D33F7B"/>
    <w:rsid w:val="00D411E3"/>
    <w:rsid w:val="00D47695"/>
    <w:rsid w:val="00D51A81"/>
    <w:rsid w:val="00D5416F"/>
    <w:rsid w:val="00D542F6"/>
    <w:rsid w:val="00D57794"/>
    <w:rsid w:val="00D60E75"/>
    <w:rsid w:val="00D62904"/>
    <w:rsid w:val="00D63D0A"/>
    <w:rsid w:val="00D64C4D"/>
    <w:rsid w:val="00D653C1"/>
    <w:rsid w:val="00D6596B"/>
    <w:rsid w:val="00D65E71"/>
    <w:rsid w:val="00D6745E"/>
    <w:rsid w:val="00D70E9C"/>
    <w:rsid w:val="00D71F6B"/>
    <w:rsid w:val="00D73175"/>
    <w:rsid w:val="00D7320E"/>
    <w:rsid w:val="00D73A25"/>
    <w:rsid w:val="00D75F1C"/>
    <w:rsid w:val="00D840EF"/>
    <w:rsid w:val="00D84CE7"/>
    <w:rsid w:val="00D86B95"/>
    <w:rsid w:val="00D90D44"/>
    <w:rsid w:val="00D9204B"/>
    <w:rsid w:val="00D95687"/>
    <w:rsid w:val="00D95B3B"/>
    <w:rsid w:val="00D95D85"/>
    <w:rsid w:val="00D976CB"/>
    <w:rsid w:val="00D97AAC"/>
    <w:rsid w:val="00DA1912"/>
    <w:rsid w:val="00DB4E1B"/>
    <w:rsid w:val="00DB533D"/>
    <w:rsid w:val="00DB6E85"/>
    <w:rsid w:val="00DB783F"/>
    <w:rsid w:val="00DB7AF6"/>
    <w:rsid w:val="00DC02AE"/>
    <w:rsid w:val="00DD21F8"/>
    <w:rsid w:val="00DD2BD3"/>
    <w:rsid w:val="00DD65AE"/>
    <w:rsid w:val="00DD6B0A"/>
    <w:rsid w:val="00DE48F7"/>
    <w:rsid w:val="00DF20E7"/>
    <w:rsid w:val="00DF3AD4"/>
    <w:rsid w:val="00DF5D92"/>
    <w:rsid w:val="00DF5F21"/>
    <w:rsid w:val="00DF7AC4"/>
    <w:rsid w:val="00E009AA"/>
    <w:rsid w:val="00E010F9"/>
    <w:rsid w:val="00E03132"/>
    <w:rsid w:val="00E060CA"/>
    <w:rsid w:val="00E06EE9"/>
    <w:rsid w:val="00E07E64"/>
    <w:rsid w:val="00E101F9"/>
    <w:rsid w:val="00E11181"/>
    <w:rsid w:val="00E1145B"/>
    <w:rsid w:val="00E12E85"/>
    <w:rsid w:val="00E17FE6"/>
    <w:rsid w:val="00E2187A"/>
    <w:rsid w:val="00E30080"/>
    <w:rsid w:val="00E321E4"/>
    <w:rsid w:val="00E331D9"/>
    <w:rsid w:val="00E337F9"/>
    <w:rsid w:val="00E36BD5"/>
    <w:rsid w:val="00E36FC9"/>
    <w:rsid w:val="00E47C44"/>
    <w:rsid w:val="00E50716"/>
    <w:rsid w:val="00E51425"/>
    <w:rsid w:val="00E540E5"/>
    <w:rsid w:val="00E55E1F"/>
    <w:rsid w:val="00E565CD"/>
    <w:rsid w:val="00E56A89"/>
    <w:rsid w:val="00E57C66"/>
    <w:rsid w:val="00E57DC9"/>
    <w:rsid w:val="00E637E8"/>
    <w:rsid w:val="00E63BD8"/>
    <w:rsid w:val="00E66548"/>
    <w:rsid w:val="00E67092"/>
    <w:rsid w:val="00E6750D"/>
    <w:rsid w:val="00E7069C"/>
    <w:rsid w:val="00E713D4"/>
    <w:rsid w:val="00E71696"/>
    <w:rsid w:val="00E72223"/>
    <w:rsid w:val="00E733D3"/>
    <w:rsid w:val="00E73A90"/>
    <w:rsid w:val="00E74005"/>
    <w:rsid w:val="00E74495"/>
    <w:rsid w:val="00E75379"/>
    <w:rsid w:val="00E8435F"/>
    <w:rsid w:val="00E850CF"/>
    <w:rsid w:val="00E85417"/>
    <w:rsid w:val="00E8735A"/>
    <w:rsid w:val="00E879D4"/>
    <w:rsid w:val="00E91966"/>
    <w:rsid w:val="00E91D0E"/>
    <w:rsid w:val="00E93A03"/>
    <w:rsid w:val="00E94FB0"/>
    <w:rsid w:val="00E97219"/>
    <w:rsid w:val="00EA08D5"/>
    <w:rsid w:val="00EA2327"/>
    <w:rsid w:val="00EA30A1"/>
    <w:rsid w:val="00EA3835"/>
    <w:rsid w:val="00EA4880"/>
    <w:rsid w:val="00EA6175"/>
    <w:rsid w:val="00EA6839"/>
    <w:rsid w:val="00EA6DDC"/>
    <w:rsid w:val="00EB3DA4"/>
    <w:rsid w:val="00EC09CE"/>
    <w:rsid w:val="00EC25B5"/>
    <w:rsid w:val="00EC520E"/>
    <w:rsid w:val="00EC57E3"/>
    <w:rsid w:val="00EC5D45"/>
    <w:rsid w:val="00EC768D"/>
    <w:rsid w:val="00ED1125"/>
    <w:rsid w:val="00ED5FD7"/>
    <w:rsid w:val="00EE204D"/>
    <w:rsid w:val="00EE2731"/>
    <w:rsid w:val="00EE36A7"/>
    <w:rsid w:val="00EE6795"/>
    <w:rsid w:val="00EE6BC6"/>
    <w:rsid w:val="00F00715"/>
    <w:rsid w:val="00F06922"/>
    <w:rsid w:val="00F1139E"/>
    <w:rsid w:val="00F11B45"/>
    <w:rsid w:val="00F122AE"/>
    <w:rsid w:val="00F12BFD"/>
    <w:rsid w:val="00F14A83"/>
    <w:rsid w:val="00F1669E"/>
    <w:rsid w:val="00F30EB8"/>
    <w:rsid w:val="00F33899"/>
    <w:rsid w:val="00F347E8"/>
    <w:rsid w:val="00F40327"/>
    <w:rsid w:val="00F4102B"/>
    <w:rsid w:val="00F41E63"/>
    <w:rsid w:val="00F43E3A"/>
    <w:rsid w:val="00F46C3A"/>
    <w:rsid w:val="00F47699"/>
    <w:rsid w:val="00F507F5"/>
    <w:rsid w:val="00F52C85"/>
    <w:rsid w:val="00F574E4"/>
    <w:rsid w:val="00F57EB9"/>
    <w:rsid w:val="00F60797"/>
    <w:rsid w:val="00F6445E"/>
    <w:rsid w:val="00F64D87"/>
    <w:rsid w:val="00F65DAF"/>
    <w:rsid w:val="00F71B72"/>
    <w:rsid w:val="00F72D32"/>
    <w:rsid w:val="00F73146"/>
    <w:rsid w:val="00F74DBD"/>
    <w:rsid w:val="00F753CA"/>
    <w:rsid w:val="00F80A13"/>
    <w:rsid w:val="00F81421"/>
    <w:rsid w:val="00F824EA"/>
    <w:rsid w:val="00F83919"/>
    <w:rsid w:val="00F8478B"/>
    <w:rsid w:val="00F850C1"/>
    <w:rsid w:val="00F87243"/>
    <w:rsid w:val="00F87D86"/>
    <w:rsid w:val="00F92A89"/>
    <w:rsid w:val="00F94B86"/>
    <w:rsid w:val="00FA0F1C"/>
    <w:rsid w:val="00FA4F46"/>
    <w:rsid w:val="00FA738D"/>
    <w:rsid w:val="00FB2EBB"/>
    <w:rsid w:val="00FB481F"/>
    <w:rsid w:val="00FB5F21"/>
    <w:rsid w:val="00FB6CDE"/>
    <w:rsid w:val="00FB74D7"/>
    <w:rsid w:val="00FC057A"/>
    <w:rsid w:val="00FC0EA9"/>
    <w:rsid w:val="00FC0EDC"/>
    <w:rsid w:val="00FC3B5D"/>
    <w:rsid w:val="00FC4D97"/>
    <w:rsid w:val="00FC522D"/>
    <w:rsid w:val="00FC6AE0"/>
    <w:rsid w:val="00FC6FCC"/>
    <w:rsid w:val="00FD29DB"/>
    <w:rsid w:val="00FD3834"/>
    <w:rsid w:val="00FD38E6"/>
    <w:rsid w:val="00FD5946"/>
    <w:rsid w:val="00FD5962"/>
    <w:rsid w:val="00FD5EC3"/>
    <w:rsid w:val="00FD73D9"/>
    <w:rsid w:val="00FD7FF9"/>
    <w:rsid w:val="00FE1589"/>
    <w:rsid w:val="00FE2D6C"/>
    <w:rsid w:val="00FF0483"/>
    <w:rsid w:val="00FF130F"/>
    <w:rsid w:val="00FF6F49"/>
    <w:rsid w:val="00FF77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59BD6-656A-4F80-ABCB-F04CB821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D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65A31"/>
    <w:pPr>
      <w:spacing w:after="160" w:line="259" w:lineRule="auto"/>
      <w:outlineLvl w:val="0"/>
    </w:pPr>
    <w:rPr>
      <w:rFonts w:eastAsia="Calibri"/>
      <w:sz w:val="36"/>
      <w:szCs w:val="22"/>
      <w:lang w:val="vi-VN"/>
    </w:rPr>
  </w:style>
  <w:style w:type="paragraph" w:styleId="Heading2">
    <w:name w:val="heading 2"/>
    <w:basedOn w:val="Normal"/>
    <w:next w:val="Normal"/>
    <w:link w:val="Heading2Char"/>
    <w:uiPriority w:val="9"/>
    <w:qFormat/>
    <w:rsid w:val="00BF3DD6"/>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rsid w:val="00465A31"/>
    <w:pPr>
      <w:keepNext/>
      <w:keepLines/>
      <w:spacing w:after="160" w:line="360" w:lineRule="auto"/>
      <w:outlineLvl w:val="2"/>
    </w:pPr>
    <w:rPr>
      <w:b/>
      <w:color w:val="002060"/>
      <w:sz w:val="28"/>
      <w:lang w:val="vi-VN"/>
    </w:rPr>
  </w:style>
  <w:style w:type="paragraph" w:styleId="Heading4">
    <w:name w:val="heading 4"/>
    <w:basedOn w:val="Normal"/>
    <w:next w:val="Normal"/>
    <w:link w:val="Heading4Char"/>
    <w:autoRedefine/>
    <w:uiPriority w:val="9"/>
    <w:rsid w:val="00465A31"/>
    <w:pPr>
      <w:keepNext/>
      <w:keepLines/>
      <w:spacing w:after="160" w:line="360" w:lineRule="auto"/>
      <w:outlineLvl w:val="3"/>
    </w:pPr>
    <w:rPr>
      <w:iCs/>
      <w:sz w:val="28"/>
      <w:szCs w:val="22"/>
      <w:lang w:val="vi-VN"/>
    </w:rPr>
  </w:style>
  <w:style w:type="paragraph" w:styleId="Heading5">
    <w:name w:val="heading 5"/>
    <w:basedOn w:val="Normal"/>
    <w:next w:val="Normal"/>
    <w:link w:val="Heading5Char"/>
    <w:qFormat/>
    <w:rsid w:val="00465A31"/>
    <w:pPr>
      <w:keepNext/>
      <w:ind w:right="-119"/>
      <w:jc w:val="center"/>
      <w:outlineLvl w:val="4"/>
    </w:pPr>
    <w:rPr>
      <w:spacing w:val="-6"/>
      <w:sz w:val="26"/>
      <w:szCs w:val="26"/>
      <w:u w:val="single"/>
    </w:rPr>
  </w:style>
  <w:style w:type="paragraph" w:styleId="Heading6">
    <w:name w:val="heading 6"/>
    <w:basedOn w:val="Normal"/>
    <w:next w:val="Normal"/>
    <w:link w:val="Heading6Char"/>
    <w:uiPriority w:val="9"/>
    <w:rsid w:val="00465A31"/>
    <w:pPr>
      <w:keepNext/>
      <w:keepLines/>
      <w:spacing w:before="40" w:after="160" w:line="259" w:lineRule="auto"/>
      <w:outlineLvl w:val="5"/>
    </w:pPr>
    <w:rPr>
      <w:rFonts w:ascii="Calibri Light" w:hAnsi="Calibri Light"/>
      <w:color w:val="1F4D78"/>
      <w:sz w:val="28"/>
      <w:szCs w:val="22"/>
      <w:lang w:val="vi-VN"/>
    </w:rPr>
  </w:style>
  <w:style w:type="paragraph" w:styleId="Heading9">
    <w:name w:val="heading 9"/>
    <w:basedOn w:val="Normal"/>
    <w:next w:val="Normal"/>
    <w:link w:val="Heading9Char"/>
    <w:uiPriority w:val="9"/>
    <w:semiHidden/>
    <w:unhideWhenUsed/>
    <w:qFormat/>
    <w:rsid w:val="00465A31"/>
    <w:pPr>
      <w:keepNext/>
      <w:keepLines/>
      <w:spacing w:before="40" w:after="160" w:line="259" w:lineRule="auto"/>
      <w:outlineLvl w:val="8"/>
    </w:pPr>
    <w:rPr>
      <w:rFonts w:ascii="Calibri Light" w:hAnsi="Calibri Light"/>
      <w:i/>
      <w:iCs/>
      <w:color w:val="272727"/>
      <w:sz w:val="21"/>
      <w:szCs w:val="2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F3DD6"/>
    <w:rPr>
      <w:rFonts w:ascii="Arial" w:eastAsia="Times New Roman" w:hAnsi="Arial" w:cs="Arial"/>
      <w:b/>
      <w:bCs/>
      <w:i/>
      <w:iCs/>
      <w:sz w:val="28"/>
      <w:szCs w:val="28"/>
    </w:rPr>
  </w:style>
  <w:style w:type="paragraph" w:styleId="Footer">
    <w:name w:val="footer"/>
    <w:basedOn w:val="Normal"/>
    <w:link w:val="FooterChar"/>
    <w:uiPriority w:val="99"/>
    <w:rsid w:val="00BF3DD6"/>
    <w:pPr>
      <w:tabs>
        <w:tab w:val="center" w:pos="4320"/>
        <w:tab w:val="right" w:pos="8640"/>
      </w:tabs>
    </w:pPr>
    <w:rPr>
      <w:lang w:val="x-none" w:eastAsia="x-none"/>
    </w:rPr>
  </w:style>
  <w:style w:type="character" w:customStyle="1" w:styleId="FooterChar">
    <w:name w:val="Footer Char"/>
    <w:link w:val="Footer"/>
    <w:uiPriority w:val="99"/>
    <w:rsid w:val="00BF3DD6"/>
    <w:rPr>
      <w:rFonts w:ascii="Times New Roman" w:eastAsia="Times New Roman" w:hAnsi="Times New Roman" w:cs="Times New Roman"/>
      <w:sz w:val="24"/>
      <w:szCs w:val="24"/>
    </w:rPr>
  </w:style>
  <w:style w:type="character" w:styleId="PageNumber">
    <w:name w:val="page number"/>
    <w:basedOn w:val="DefaultParagraphFont"/>
    <w:rsid w:val="00BF3DD6"/>
  </w:style>
  <w:style w:type="character" w:styleId="Hyperlink">
    <w:name w:val="Hyperlink"/>
    <w:unhideWhenUsed/>
    <w:rsid w:val="000524B6"/>
    <w:rPr>
      <w:color w:val="0000FF"/>
      <w:u w:val="single"/>
    </w:rPr>
  </w:style>
  <w:style w:type="character" w:customStyle="1" w:styleId="apple-converted-space">
    <w:name w:val="apple-converted-space"/>
    <w:rsid w:val="00C22F5F"/>
  </w:style>
  <w:style w:type="paragraph" w:styleId="NormalWeb">
    <w:name w:val="Normal (Web)"/>
    <w:aliases w:val="Char Char1,Char Char Char,Char Char5,Char Char, Char Char Char,Char Char Char Char Char Char Char Char Char Char,Char Char Char Char Char Char Char Char Char Char Char,Обычный (веб)1,Обычный (веб) Знак,Обычный (веб) Знак1,webb, Char Char1"/>
    <w:basedOn w:val="Normal"/>
    <w:link w:val="NormalWebChar"/>
    <w:unhideWhenUsed/>
    <w:qFormat/>
    <w:rsid w:val="00212673"/>
    <w:pPr>
      <w:spacing w:before="100" w:beforeAutospacing="1" w:after="100" w:afterAutospacing="1"/>
    </w:pPr>
  </w:style>
  <w:style w:type="paragraph" w:styleId="BalloonText">
    <w:name w:val="Balloon Text"/>
    <w:basedOn w:val="Normal"/>
    <w:link w:val="BalloonTextChar"/>
    <w:uiPriority w:val="99"/>
    <w:semiHidden/>
    <w:unhideWhenUsed/>
    <w:rsid w:val="00A7336F"/>
    <w:rPr>
      <w:rFonts w:ascii="Tahoma" w:hAnsi="Tahoma"/>
      <w:sz w:val="16"/>
      <w:szCs w:val="16"/>
    </w:rPr>
  </w:style>
  <w:style w:type="character" w:customStyle="1" w:styleId="BalloonTextChar">
    <w:name w:val="Balloon Text Char"/>
    <w:link w:val="BalloonText"/>
    <w:uiPriority w:val="99"/>
    <w:semiHidden/>
    <w:rsid w:val="00A7336F"/>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4F79D5"/>
    <w:pPr>
      <w:tabs>
        <w:tab w:val="center" w:pos="4513"/>
        <w:tab w:val="right" w:pos="9026"/>
      </w:tabs>
    </w:pPr>
  </w:style>
  <w:style w:type="character" w:customStyle="1" w:styleId="HeaderChar">
    <w:name w:val="Header Char"/>
    <w:link w:val="Header"/>
    <w:uiPriority w:val="99"/>
    <w:rsid w:val="004F79D5"/>
    <w:rPr>
      <w:rFonts w:ascii="Times New Roman" w:eastAsia="Times New Roman" w:hAnsi="Times New Roman"/>
      <w:sz w:val="24"/>
      <w:szCs w:val="24"/>
      <w:lang w:val="en-US" w:eastAsia="en-US"/>
    </w:rPr>
  </w:style>
  <w:style w:type="paragraph" w:customStyle="1" w:styleId="CharCharCharCharCharCharChar">
    <w:name w:val="Char Char Char Char Char Char Char"/>
    <w:autoRedefine/>
    <w:rsid w:val="00956167"/>
    <w:pPr>
      <w:tabs>
        <w:tab w:val="left" w:pos="1152"/>
      </w:tabs>
      <w:spacing w:before="120" w:after="120" w:line="312" w:lineRule="auto"/>
    </w:pPr>
    <w:rPr>
      <w:rFonts w:ascii="Arial" w:eastAsia="Times New Roman"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unhideWhenUsed/>
    <w:qFormat/>
    <w:rsid w:val="00F64D87"/>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F64D87"/>
    <w:rPr>
      <w:rFonts w:ascii="Times New Roman" w:eastAsia="Times New Roman" w:hAnsi="Times New Roman"/>
      <w:lang w:val="en-US" w:eastAsia="en-US"/>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link w:val="CharChar1CharCharCharChar1CharCharCharCharCharCharCharChar"/>
    <w:qFormat/>
    <w:rsid w:val="00F64D87"/>
    <w:rPr>
      <w:rFonts w:cs="Times New Roman"/>
      <w:vertAlign w:val="superscript"/>
    </w:rPr>
  </w:style>
  <w:style w:type="character" w:customStyle="1" w:styleId="fontstyle01">
    <w:name w:val="fontstyle01"/>
    <w:rsid w:val="00664083"/>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rsid w:val="00664083"/>
    <w:pPr>
      <w:spacing w:before="120" w:after="120"/>
      <w:ind w:firstLine="709"/>
      <w:jc w:val="both"/>
    </w:pPr>
    <w:rPr>
      <w:rFonts w:eastAsia="Calibri"/>
      <w:szCs w:val="22"/>
      <w:lang w:val="vi-VN"/>
    </w:rPr>
  </w:style>
  <w:style w:type="character" w:customStyle="1" w:styleId="BodyTextChar">
    <w:name w:val="Body Text Char"/>
    <w:basedOn w:val="DefaultParagraphFont"/>
    <w:link w:val="BodyText"/>
    <w:rsid w:val="00664083"/>
    <w:rPr>
      <w:rFonts w:ascii="Times New Roman" w:hAnsi="Times New Roman"/>
      <w:sz w:val="24"/>
      <w:szCs w:val="22"/>
      <w:lang w:eastAsia="en-US"/>
    </w:rPr>
  </w:style>
  <w:style w:type="character" w:styleId="Emphasis">
    <w:name w:val="Emphasis"/>
    <w:uiPriority w:val="20"/>
    <w:qFormat/>
    <w:rsid w:val="00971F50"/>
    <w:rPr>
      <w:i/>
      <w:iCs/>
    </w:rPr>
  </w:style>
  <w:style w:type="character" w:styleId="Strong">
    <w:name w:val="Strong"/>
    <w:uiPriority w:val="22"/>
    <w:qFormat/>
    <w:rsid w:val="008B515A"/>
    <w:rPr>
      <w:b/>
      <w:bCs/>
    </w:rPr>
  </w:style>
  <w:style w:type="paragraph" w:styleId="BodyTextIndent">
    <w:name w:val="Body Text Indent"/>
    <w:basedOn w:val="Normal"/>
    <w:link w:val="BodyTextIndentChar"/>
    <w:uiPriority w:val="99"/>
    <w:unhideWhenUsed/>
    <w:rsid w:val="00366978"/>
    <w:pPr>
      <w:spacing w:after="120"/>
      <w:ind w:left="283"/>
    </w:pPr>
  </w:style>
  <w:style w:type="character" w:customStyle="1" w:styleId="BodyTextIndentChar">
    <w:name w:val="Body Text Indent Char"/>
    <w:basedOn w:val="DefaultParagraphFont"/>
    <w:link w:val="BodyTextIndent"/>
    <w:uiPriority w:val="99"/>
    <w:rsid w:val="00366978"/>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39"/>
    <w:rsid w:val="00E36FC9"/>
    <w:rPr>
      <w:rFonts w:ascii="Times New Roman"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554"/>
    <w:rPr>
      <w:rFonts w:ascii="Times New Roman" w:eastAsiaTheme="minorHAnsi" w:hAnsi="Times New Roman"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A31"/>
    <w:rPr>
      <w:rFonts w:ascii="Times New Roman" w:hAnsi="Times New Roman"/>
      <w:sz w:val="36"/>
      <w:szCs w:val="22"/>
      <w:lang w:eastAsia="en-US"/>
    </w:rPr>
  </w:style>
  <w:style w:type="character" w:customStyle="1" w:styleId="Heading3Char">
    <w:name w:val="Heading 3 Char"/>
    <w:basedOn w:val="DefaultParagraphFont"/>
    <w:link w:val="Heading3"/>
    <w:uiPriority w:val="9"/>
    <w:rsid w:val="00465A31"/>
    <w:rPr>
      <w:rFonts w:ascii="Times New Roman" w:eastAsia="Times New Roman" w:hAnsi="Times New Roman"/>
      <w:b/>
      <w:color w:val="002060"/>
      <w:sz w:val="28"/>
      <w:szCs w:val="24"/>
      <w:lang w:eastAsia="en-US"/>
    </w:rPr>
  </w:style>
  <w:style w:type="character" w:customStyle="1" w:styleId="Heading4Char">
    <w:name w:val="Heading 4 Char"/>
    <w:basedOn w:val="DefaultParagraphFont"/>
    <w:link w:val="Heading4"/>
    <w:uiPriority w:val="9"/>
    <w:rsid w:val="00465A31"/>
    <w:rPr>
      <w:rFonts w:ascii="Times New Roman" w:eastAsia="Times New Roman" w:hAnsi="Times New Roman"/>
      <w:iCs/>
      <w:sz w:val="28"/>
      <w:szCs w:val="22"/>
      <w:lang w:eastAsia="en-US"/>
    </w:rPr>
  </w:style>
  <w:style w:type="character" w:customStyle="1" w:styleId="Heading5Char">
    <w:name w:val="Heading 5 Char"/>
    <w:basedOn w:val="DefaultParagraphFont"/>
    <w:link w:val="Heading5"/>
    <w:rsid w:val="00465A31"/>
    <w:rPr>
      <w:rFonts w:ascii="Times New Roman" w:eastAsia="Times New Roman" w:hAnsi="Times New Roman"/>
      <w:spacing w:val="-6"/>
      <w:sz w:val="26"/>
      <w:szCs w:val="26"/>
      <w:u w:val="single"/>
      <w:lang w:val="en-US" w:eastAsia="en-US"/>
    </w:rPr>
  </w:style>
  <w:style w:type="character" w:customStyle="1" w:styleId="Heading6Char">
    <w:name w:val="Heading 6 Char"/>
    <w:basedOn w:val="DefaultParagraphFont"/>
    <w:link w:val="Heading6"/>
    <w:uiPriority w:val="9"/>
    <w:rsid w:val="00465A31"/>
    <w:rPr>
      <w:rFonts w:ascii="Calibri Light" w:eastAsia="Times New Roman" w:hAnsi="Calibri Light"/>
      <w:color w:val="1F4D78"/>
      <w:sz w:val="28"/>
      <w:szCs w:val="22"/>
      <w:lang w:eastAsia="en-US"/>
    </w:rPr>
  </w:style>
  <w:style w:type="character" w:customStyle="1" w:styleId="Heading9Char">
    <w:name w:val="Heading 9 Char"/>
    <w:basedOn w:val="DefaultParagraphFont"/>
    <w:link w:val="Heading9"/>
    <w:uiPriority w:val="9"/>
    <w:semiHidden/>
    <w:rsid w:val="00465A31"/>
    <w:rPr>
      <w:rFonts w:ascii="Calibri Light" w:eastAsia="Times New Roman" w:hAnsi="Calibri Light"/>
      <w:i/>
      <w:iCs/>
      <w:color w:val="272727"/>
      <w:sz w:val="21"/>
      <w:szCs w:val="21"/>
      <w:lang w:eastAsia="en-US"/>
    </w:rPr>
  </w:style>
  <w:style w:type="numbering" w:customStyle="1" w:styleId="NoList1">
    <w:name w:val="No List1"/>
    <w:next w:val="NoList"/>
    <w:uiPriority w:val="99"/>
    <w:semiHidden/>
    <w:unhideWhenUsed/>
    <w:rsid w:val="00465A31"/>
  </w:style>
  <w:style w:type="table" w:customStyle="1" w:styleId="TableGrid3">
    <w:name w:val="Table Grid3"/>
    <w:basedOn w:val="TableNormal"/>
    <w:next w:val="TableGrid"/>
    <w:rsid w:val="00465A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CharCharCharCharCharChar">
    <w:name w:val="Char Char Char1 Char Char Char Char Char Char Char Char Char Char Char Char Char Char Char Char"/>
    <w:basedOn w:val="Normal"/>
    <w:semiHidden/>
    <w:rsid w:val="00465A31"/>
    <w:pPr>
      <w:spacing w:after="160" w:line="240" w:lineRule="exact"/>
    </w:pPr>
    <w:rPr>
      <w:rFonts w:ascii="Arial" w:hAnsi="Arial"/>
      <w:sz w:val="22"/>
      <w:szCs w:val="22"/>
    </w:rPr>
  </w:style>
  <w:style w:type="character" w:customStyle="1" w:styleId="fontstyle21">
    <w:name w:val="fontstyle21"/>
    <w:rsid w:val="00465A31"/>
    <w:rPr>
      <w:rFonts w:ascii="Times-Italic" w:hAnsi="Times-Italic" w:hint="default"/>
      <w:b w:val="0"/>
      <w:bCs w:val="0"/>
      <w:i/>
      <w:iCs/>
      <w:color w:val="000000"/>
      <w:sz w:val="28"/>
      <w:szCs w:val="28"/>
    </w:rPr>
  </w:style>
  <w:style w:type="character" w:customStyle="1" w:styleId="fontstyle31">
    <w:name w:val="fontstyle31"/>
    <w:rsid w:val="00465A31"/>
    <w:rPr>
      <w:rFonts w:ascii="Times-BoldItalic" w:hAnsi="Times-BoldItalic" w:hint="default"/>
      <w:b/>
      <w:bCs/>
      <w:i/>
      <w:iCs/>
      <w:color w:val="000000"/>
      <w:sz w:val="28"/>
      <w:szCs w:val="28"/>
    </w:rPr>
  </w:style>
  <w:style w:type="character" w:customStyle="1" w:styleId="fontstyle41">
    <w:name w:val="fontstyle41"/>
    <w:rsid w:val="00465A31"/>
    <w:rPr>
      <w:rFonts w:ascii="Times-Bold" w:hAnsi="Times-Bold" w:hint="default"/>
      <w:b/>
      <w:bCs/>
      <w:i w:val="0"/>
      <w:iCs w:val="0"/>
      <w:color w:val="000000"/>
      <w:sz w:val="28"/>
      <w:szCs w:val="28"/>
    </w:rPr>
  </w:style>
  <w:style w:type="paragraph" w:customStyle="1" w:styleId="HeaderFooter">
    <w:name w:val="Header &amp; Footer"/>
    <w:rsid w:val="00465A3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FF"/>
      <w:bdr w:val="nil"/>
      <w:lang w:val="en-US" w:eastAsia="en-US"/>
    </w:rPr>
  </w:style>
  <w:style w:type="character" w:customStyle="1" w:styleId="UnresolvedMention">
    <w:name w:val="Unresolved Mention"/>
    <w:uiPriority w:val="99"/>
    <w:semiHidden/>
    <w:unhideWhenUsed/>
    <w:rsid w:val="00465A31"/>
    <w:rPr>
      <w:color w:val="605E5C"/>
      <w:shd w:val="clear" w:color="auto" w:fill="E1DFDD"/>
    </w:rPr>
  </w:style>
  <w:style w:type="table" w:customStyle="1" w:styleId="TableNormal1">
    <w:name w:val="Table Normal1"/>
    <w:uiPriority w:val="2"/>
    <w:semiHidden/>
    <w:unhideWhenUsed/>
    <w:qFormat/>
    <w:rsid w:val="00465A31"/>
    <w:pPr>
      <w:widowControl w:val="0"/>
      <w:autoSpaceDE w:val="0"/>
      <w:autoSpaceDN w:val="0"/>
    </w:pPr>
    <w:rPr>
      <w:rFonts w:eastAsia="Arial Unicode MS"/>
      <w:sz w:val="22"/>
      <w:szCs w:val="22"/>
      <w:u w:color="0000FF"/>
      <w:lang w:val="en-US" w:eastAsia="en-US"/>
    </w:rPr>
    <w:tblPr>
      <w:tblInd w:w="0" w:type="dxa"/>
      <w:tblCellMar>
        <w:top w:w="0" w:type="dxa"/>
        <w:left w:w="0" w:type="dxa"/>
        <w:bottom w:w="0" w:type="dxa"/>
        <w:right w:w="0" w:type="dxa"/>
      </w:tblCellMar>
    </w:tblPr>
  </w:style>
  <w:style w:type="numbering" w:customStyle="1" w:styleId="Style1">
    <w:name w:val="Style1"/>
    <w:uiPriority w:val="99"/>
    <w:rsid w:val="00465A31"/>
    <w:pPr>
      <w:numPr>
        <w:numId w:val="6"/>
      </w:numPr>
    </w:pPr>
  </w:style>
  <w:style w:type="paragraph" w:styleId="TOC1">
    <w:name w:val="toc 1"/>
    <w:basedOn w:val="Normal"/>
    <w:next w:val="Normal"/>
    <w:autoRedefine/>
    <w:uiPriority w:val="39"/>
    <w:unhideWhenUsed/>
    <w:rsid w:val="00465A31"/>
    <w:pPr>
      <w:spacing w:after="100" w:line="259" w:lineRule="auto"/>
    </w:pPr>
    <w:rPr>
      <w:rFonts w:eastAsia="Calibri"/>
      <w:sz w:val="28"/>
      <w:szCs w:val="22"/>
      <w:lang w:val="vi-VN"/>
    </w:rPr>
  </w:style>
  <w:style w:type="paragraph" w:styleId="TOC2">
    <w:name w:val="toc 2"/>
    <w:basedOn w:val="Normal"/>
    <w:next w:val="Normal"/>
    <w:autoRedefine/>
    <w:uiPriority w:val="39"/>
    <w:unhideWhenUsed/>
    <w:rsid w:val="00465A31"/>
    <w:pPr>
      <w:spacing w:after="100" w:line="259" w:lineRule="auto"/>
      <w:ind w:left="260"/>
    </w:pPr>
    <w:rPr>
      <w:rFonts w:eastAsia="Calibri"/>
      <w:sz w:val="28"/>
      <w:szCs w:val="22"/>
      <w:lang w:val="vi-VN"/>
    </w:rPr>
  </w:style>
  <w:style w:type="paragraph" w:styleId="TOC3">
    <w:name w:val="toc 3"/>
    <w:basedOn w:val="Normal"/>
    <w:next w:val="Normal"/>
    <w:autoRedefine/>
    <w:uiPriority w:val="39"/>
    <w:unhideWhenUsed/>
    <w:rsid w:val="00465A31"/>
    <w:pPr>
      <w:spacing w:after="100" w:line="259" w:lineRule="auto"/>
      <w:ind w:left="520"/>
    </w:pPr>
    <w:rPr>
      <w:rFonts w:eastAsia="Calibri"/>
      <w:sz w:val="28"/>
      <w:szCs w:val="22"/>
      <w:lang w:val="vi-VN"/>
    </w:rPr>
  </w:style>
  <w:style w:type="paragraph" w:styleId="CommentText">
    <w:name w:val="annotation text"/>
    <w:basedOn w:val="Normal"/>
    <w:link w:val="CommentTextChar"/>
    <w:uiPriority w:val="99"/>
    <w:unhideWhenUsed/>
    <w:rsid w:val="00465A31"/>
    <w:pPr>
      <w:spacing w:after="160" w:line="259" w:lineRule="auto"/>
    </w:pPr>
    <w:rPr>
      <w:rFonts w:eastAsia="Calibri"/>
      <w:sz w:val="20"/>
      <w:szCs w:val="20"/>
      <w:lang w:val="vi-VN"/>
    </w:rPr>
  </w:style>
  <w:style w:type="character" w:customStyle="1" w:styleId="CommentTextChar">
    <w:name w:val="Comment Text Char"/>
    <w:basedOn w:val="DefaultParagraphFont"/>
    <w:link w:val="CommentText"/>
    <w:uiPriority w:val="99"/>
    <w:rsid w:val="00465A31"/>
    <w:rPr>
      <w:rFonts w:ascii="Times New Roman" w:hAnsi="Times New Roman"/>
      <w:lang w:eastAsia="en-US"/>
    </w:rPr>
  </w:style>
  <w:style w:type="character" w:styleId="CommentReference">
    <w:name w:val="annotation reference"/>
    <w:uiPriority w:val="99"/>
    <w:unhideWhenUsed/>
    <w:rsid w:val="00465A31"/>
    <w:rPr>
      <w:sz w:val="16"/>
      <w:szCs w:val="16"/>
    </w:rPr>
  </w:style>
  <w:style w:type="paragraph" w:styleId="CommentSubject">
    <w:name w:val="annotation subject"/>
    <w:basedOn w:val="CommentText"/>
    <w:next w:val="CommentText"/>
    <w:link w:val="CommentSubjectChar"/>
    <w:uiPriority w:val="99"/>
    <w:unhideWhenUsed/>
    <w:rsid w:val="00465A31"/>
    <w:rPr>
      <w:b/>
      <w:bCs/>
    </w:rPr>
  </w:style>
  <w:style w:type="character" w:customStyle="1" w:styleId="CommentSubjectChar">
    <w:name w:val="Comment Subject Char"/>
    <w:basedOn w:val="CommentTextChar"/>
    <w:link w:val="CommentSubject"/>
    <w:uiPriority w:val="99"/>
    <w:rsid w:val="00465A31"/>
    <w:rPr>
      <w:rFonts w:ascii="Times New Roman" w:hAnsi="Times New Roman"/>
      <w:b/>
      <w:bCs/>
      <w:lang w:eastAsia="en-US"/>
    </w:rPr>
  </w:style>
  <w:style w:type="paragraph" w:styleId="NoSpacing">
    <w:name w:val="No Spacing"/>
    <w:uiPriority w:val="1"/>
    <w:rsid w:val="00465A31"/>
    <w:pPr>
      <w:pBdr>
        <w:top w:val="nil"/>
        <w:left w:val="nil"/>
        <w:bottom w:val="nil"/>
        <w:right w:val="nil"/>
        <w:between w:val="nil"/>
        <w:bar w:val="nil"/>
      </w:pBdr>
    </w:pPr>
    <w:rPr>
      <w:rFonts w:ascii="Times New Roman" w:eastAsia="Arial Unicode MS" w:hAnsi="Times New Roman"/>
      <w:sz w:val="26"/>
      <w:szCs w:val="26"/>
      <w:u w:color="0000FF"/>
      <w:lang w:val="en-US" w:eastAsia="en-US"/>
    </w:rPr>
  </w:style>
  <w:style w:type="paragraph" w:styleId="ListParagraph">
    <w:name w:val="List Paragraph"/>
    <w:basedOn w:val="Normal"/>
    <w:uiPriority w:val="34"/>
    <w:qFormat/>
    <w:rsid w:val="00465A31"/>
    <w:pPr>
      <w:spacing w:after="160" w:line="259" w:lineRule="auto"/>
      <w:ind w:left="720"/>
      <w:contextualSpacing/>
    </w:pPr>
    <w:rPr>
      <w:rFonts w:eastAsia="Calibri"/>
      <w:sz w:val="28"/>
      <w:szCs w:val="22"/>
      <w:lang w:val="vi-VN"/>
    </w:rPr>
  </w:style>
  <w:style w:type="paragraph" w:styleId="IntenseQuote">
    <w:name w:val="Intense Quote"/>
    <w:basedOn w:val="Normal"/>
    <w:next w:val="Normal"/>
    <w:link w:val="IntenseQuoteChar"/>
    <w:uiPriority w:val="30"/>
    <w:rsid w:val="00465A31"/>
    <w:pPr>
      <w:pBdr>
        <w:top w:val="single" w:sz="4" w:space="10" w:color="5B9BD5"/>
        <w:bottom w:val="single" w:sz="4" w:space="10" w:color="5B9BD5"/>
      </w:pBdr>
      <w:spacing w:before="360" w:after="360" w:line="259" w:lineRule="auto"/>
      <w:ind w:left="864" w:right="864"/>
      <w:jc w:val="center"/>
    </w:pPr>
    <w:rPr>
      <w:rFonts w:eastAsia="Calibri"/>
      <w:i/>
      <w:iCs/>
      <w:color w:val="5B9BD5"/>
      <w:sz w:val="28"/>
      <w:szCs w:val="22"/>
      <w:lang w:val="vi-VN"/>
    </w:rPr>
  </w:style>
  <w:style w:type="character" w:customStyle="1" w:styleId="IntenseQuoteChar">
    <w:name w:val="Intense Quote Char"/>
    <w:basedOn w:val="DefaultParagraphFont"/>
    <w:link w:val="IntenseQuote"/>
    <w:uiPriority w:val="30"/>
    <w:rsid w:val="00465A31"/>
    <w:rPr>
      <w:rFonts w:ascii="Times New Roman" w:hAnsi="Times New Roman"/>
      <w:i/>
      <w:iCs/>
      <w:color w:val="5B9BD5"/>
      <w:sz w:val="28"/>
      <w:szCs w:val="22"/>
      <w:lang w:eastAsia="en-US"/>
    </w:rPr>
  </w:style>
  <w:style w:type="character" w:styleId="IntenseReference">
    <w:name w:val="Intense Reference"/>
    <w:uiPriority w:val="32"/>
    <w:qFormat/>
    <w:rsid w:val="00465A31"/>
    <w:rPr>
      <w:b/>
      <w:bCs/>
      <w:smallCaps/>
      <w:color w:val="5B9BD5"/>
      <w:spacing w:val="5"/>
    </w:rPr>
  </w:style>
  <w:style w:type="paragraph" w:styleId="Bibliography">
    <w:name w:val="Bibliography"/>
    <w:basedOn w:val="Normal"/>
    <w:next w:val="Normal"/>
    <w:uiPriority w:val="37"/>
    <w:unhideWhenUsed/>
    <w:rsid w:val="00465A31"/>
    <w:pPr>
      <w:spacing w:after="160" w:line="259" w:lineRule="auto"/>
    </w:pPr>
    <w:rPr>
      <w:rFonts w:eastAsia="Calibri"/>
      <w:sz w:val="28"/>
      <w:szCs w:val="22"/>
      <w:lang w:val="vi-VN"/>
    </w:rPr>
  </w:style>
  <w:style w:type="table" w:customStyle="1" w:styleId="TableGrid4">
    <w:name w:val="Table Grid4"/>
    <w:basedOn w:val="TableNormal"/>
    <w:next w:val="TableGrid"/>
    <w:uiPriority w:val="59"/>
    <w:rsid w:val="00212F7C"/>
    <w:pPr>
      <w:jc w:val="both"/>
    </w:pPr>
    <w:rPr>
      <w:rFonts w:ascii="Times New Roman" w:eastAsia="Arial Unicode MS"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2F7C"/>
    <w:pPr>
      <w:jc w:val="both"/>
    </w:pPr>
    <w:rPr>
      <w:rFonts w:ascii="Times New Roman" w:eastAsia="Arial Unicode MS"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link w:val="Headerorfooter1"/>
    <w:uiPriority w:val="99"/>
    <w:locked/>
    <w:rsid w:val="00212F7C"/>
    <w:rPr>
      <w:rFonts w:ascii="Times New Roman" w:hAnsi="Times New Roman"/>
      <w:sz w:val="19"/>
      <w:shd w:val="clear" w:color="auto" w:fill="FFFFFF"/>
      <w:lang w:val="en-US" w:eastAsia="en-US"/>
    </w:rPr>
  </w:style>
  <w:style w:type="character" w:customStyle="1" w:styleId="Headerorfooter11pt">
    <w:name w:val="Header or footer + 11 pt"/>
    <w:uiPriority w:val="99"/>
    <w:rsid w:val="00212F7C"/>
    <w:rPr>
      <w:rFonts w:ascii="Times New Roman" w:hAnsi="Times New Roman"/>
      <w:sz w:val="22"/>
      <w:u w:val="none"/>
      <w:lang w:val="en-US" w:eastAsia="en-US"/>
    </w:rPr>
  </w:style>
  <w:style w:type="paragraph" w:customStyle="1" w:styleId="Headerorfooter1">
    <w:name w:val="Header or footer1"/>
    <w:basedOn w:val="Normal"/>
    <w:link w:val="Headerorfooter"/>
    <w:uiPriority w:val="99"/>
    <w:rsid w:val="00212F7C"/>
    <w:pPr>
      <w:widowControl w:val="0"/>
      <w:shd w:val="clear" w:color="auto" w:fill="FFFFFF"/>
      <w:spacing w:line="240" w:lineRule="atLeast"/>
    </w:pPr>
    <w:rPr>
      <w:rFonts w:eastAsia="Calibri"/>
      <w:sz w:val="19"/>
      <w:szCs w:val="20"/>
    </w:rPr>
  </w:style>
  <w:style w:type="table" w:customStyle="1" w:styleId="TableGrid5">
    <w:name w:val="Table Grid5"/>
    <w:basedOn w:val="TableNormal"/>
    <w:next w:val="TableGrid"/>
    <w:uiPriority w:val="59"/>
    <w:rsid w:val="00212F7C"/>
    <w:pPr>
      <w:jc w:val="both"/>
    </w:pPr>
    <w:rPr>
      <w:rFonts w:ascii="Times New Roman" w:eastAsia="Arial Unicode MS"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517D4"/>
  </w:style>
  <w:style w:type="table" w:customStyle="1" w:styleId="TableGrid6">
    <w:name w:val="Table Grid6"/>
    <w:basedOn w:val="TableNormal"/>
    <w:next w:val="TableGrid"/>
    <w:uiPriority w:val="59"/>
    <w:rsid w:val="004517D4"/>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4517D4"/>
    <w:pPr>
      <w:spacing w:after="160" w:line="240" w:lineRule="exact"/>
    </w:pPr>
    <w:rPr>
      <w:rFonts w:ascii="Calibri" w:eastAsia="Calibri" w:hAnsi="Calibri"/>
      <w:sz w:val="20"/>
      <w:szCs w:val="20"/>
      <w:vertAlign w:val="superscript"/>
      <w:lang w:val="vi-VN" w:eastAsia="vi-VN"/>
    </w:rPr>
  </w:style>
  <w:style w:type="character" w:customStyle="1" w:styleId="NormalWebChar">
    <w:name w:val="Normal (Web) Char"/>
    <w:aliases w:val="Char Char1 Char,Char Char Char Char,Char Char5 Char,Char Char Char1, Char Char Char Char,Char Char Char Char Char Char Char Char Char Char Char1,Char Char Char Char Char Char Char Char Char Char Char Char,Обычный (веб)1 Char,webb Char"/>
    <w:link w:val="NormalWeb"/>
    <w:locked/>
    <w:rsid w:val="004517D4"/>
    <w:rPr>
      <w:rFonts w:ascii="Times New Roman" w:eastAsia="Times New Roman" w:hAnsi="Times New Roman"/>
      <w:sz w:val="24"/>
      <w:szCs w:val="24"/>
      <w:lang w:val="en-US" w:eastAsia="en-US"/>
    </w:rPr>
  </w:style>
  <w:style w:type="paragraph" w:customStyle="1" w:styleId="Body1">
    <w:name w:val="Body 1"/>
    <w:rsid w:val="004517D4"/>
    <w:pPr>
      <w:outlineLvl w:val="0"/>
    </w:pPr>
    <w:rPr>
      <w:rFonts w:ascii="Times New Roman" w:eastAsia="ヒラギノ角ゴ Pro W3" w:hAnsi="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6296">
      <w:bodyDiv w:val="1"/>
      <w:marLeft w:val="0"/>
      <w:marRight w:val="0"/>
      <w:marTop w:val="0"/>
      <w:marBottom w:val="0"/>
      <w:divBdr>
        <w:top w:val="none" w:sz="0" w:space="0" w:color="auto"/>
        <w:left w:val="none" w:sz="0" w:space="0" w:color="auto"/>
        <w:bottom w:val="none" w:sz="0" w:space="0" w:color="auto"/>
        <w:right w:val="none" w:sz="0" w:space="0" w:color="auto"/>
      </w:divBdr>
    </w:div>
    <w:div w:id="900673755">
      <w:bodyDiv w:val="1"/>
      <w:marLeft w:val="0"/>
      <w:marRight w:val="0"/>
      <w:marTop w:val="0"/>
      <w:marBottom w:val="0"/>
      <w:divBdr>
        <w:top w:val="none" w:sz="0" w:space="0" w:color="auto"/>
        <w:left w:val="none" w:sz="0" w:space="0" w:color="auto"/>
        <w:bottom w:val="none" w:sz="0" w:space="0" w:color="auto"/>
        <w:right w:val="none" w:sz="0" w:space="0" w:color="auto"/>
      </w:divBdr>
    </w:div>
    <w:div w:id="1751392769">
      <w:bodyDiv w:val="1"/>
      <w:marLeft w:val="0"/>
      <w:marRight w:val="0"/>
      <w:marTop w:val="0"/>
      <w:marBottom w:val="0"/>
      <w:divBdr>
        <w:top w:val="none" w:sz="0" w:space="0" w:color="auto"/>
        <w:left w:val="none" w:sz="0" w:space="0" w:color="auto"/>
        <w:bottom w:val="none" w:sz="0" w:space="0" w:color="auto"/>
        <w:right w:val="none" w:sz="0" w:space="0" w:color="auto"/>
      </w:divBdr>
    </w:div>
    <w:div w:id="20497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F629-D436-4CA6-AE56-A718DDA8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14424</Words>
  <Characters>82223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Nam</cp:lastModifiedBy>
  <cp:revision>2</cp:revision>
  <cp:lastPrinted>2021-06-08T04:45:00Z</cp:lastPrinted>
  <dcterms:created xsi:type="dcterms:W3CDTF">2021-10-20T04:22:00Z</dcterms:created>
  <dcterms:modified xsi:type="dcterms:W3CDTF">2021-10-20T04:22:00Z</dcterms:modified>
</cp:coreProperties>
</file>